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0EA8F0" w14:textId="77777777" w:rsidR="00DE0965" w:rsidRDefault="004163D7">
      <w:pPr>
        <w:rPr>
          <w:rFonts w:eastAsia="Arial"/>
          <w:sz w:val="8"/>
          <w:szCs w:val="8"/>
        </w:rPr>
      </w:pPr>
      <w:r>
        <w:rPr>
          <w:b/>
          <w:bCs/>
          <w:sz w:val="32"/>
          <w:szCs w:val="32"/>
        </w:rPr>
        <w:t>Kraftkabine</w:t>
      </w:r>
      <w:r>
        <w:rPr>
          <w:b/>
          <w:bCs/>
          <w:sz w:val="32"/>
          <w:szCs w:val="32"/>
        </w:rPr>
        <w:br/>
      </w:r>
      <w:r>
        <w:rPr>
          <w:rFonts w:eastAsia="Arial"/>
        </w:rPr>
        <w:t>Schreinerei Stahlmann modernisiert die Teamräume des Basketballclubs BBC Bayreuth – mit durchgängigen Lösungen von Häfele und einem Lichtkonzept, das Leistung, Motivation und Regeneration der Spieler unterstützt.</w:t>
      </w:r>
      <w:r>
        <w:rPr>
          <w:rFonts w:eastAsia="Arial"/>
        </w:rPr>
        <w:br/>
      </w:r>
      <w:r>
        <w:rPr>
          <w:rFonts w:eastAsia="Arial"/>
          <w:sz w:val="8"/>
          <w:szCs w:val="8"/>
        </w:rPr>
        <w:br/>
      </w:r>
    </w:p>
    <w:tbl>
      <w:tblPr>
        <w:tblStyle w:val="TabelleEinfach1"/>
        <w:tblW w:w="5000" w:type="pct"/>
        <w:jc w:val="center"/>
        <w:tblLayout w:type="fixed"/>
        <w:tblCellMar>
          <w:left w:w="0" w:type="dxa"/>
          <w:right w:w="227" w:type="dxa"/>
        </w:tblCellMar>
        <w:tblLook w:val="04A0" w:firstRow="1" w:lastRow="0" w:firstColumn="1" w:lastColumn="0" w:noHBand="0" w:noVBand="1"/>
      </w:tblPr>
      <w:tblGrid>
        <w:gridCol w:w="9752"/>
      </w:tblGrid>
      <w:tr w:rsidR="00DE0965" w14:paraId="1C53C7F7" w14:textId="77777777">
        <w:trPr>
          <w:jc w:val="center"/>
        </w:trPr>
        <w:tc>
          <w:tcPr>
            <w:tcW w:w="5000" w:type="pct"/>
            <w:tcBorders>
              <w:top w:val="nil"/>
              <w:left w:val="nil"/>
              <w:bottom w:val="nil"/>
              <w:right w:val="nil"/>
            </w:tcBorders>
            <w:tcMar>
              <w:top w:w="0" w:type="dxa"/>
              <w:left w:w="0" w:type="dxa"/>
              <w:bottom w:w="0" w:type="dxa"/>
              <w:right w:w="227" w:type="dxa"/>
            </w:tcMar>
          </w:tcPr>
          <w:p w14:paraId="7473DF8B" w14:textId="77777777" w:rsidR="00DE0965" w:rsidRDefault="004163D7">
            <w:pPr>
              <w:rPr>
                <w:sz w:val="18"/>
                <w:szCs w:val="18"/>
              </w:rPr>
            </w:pPr>
            <w:r>
              <w:rPr>
                <w:noProof/>
                <w:sz w:val="18"/>
                <w:szCs w:val="18"/>
              </w:rPr>
              <w:drawing>
                <wp:inline distT="0" distB="0" distL="0" distR="0" wp14:anchorId="677EF13C" wp14:editId="0BF97CEB">
                  <wp:extent cx="3995420" cy="26638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dpi="0">
                          <a:blip r:embed="rId7"/>
                          <a:srcRect/>
                          <a:stretch>
                            <a:fillRect/>
                          </a:stretch>
                        </pic:blipFill>
                        <pic:spPr>
                          <a:xfrm>
                            <a:off x="0" y="0"/>
                            <a:ext cx="3995420" cy="2663825"/>
                          </a:xfrm>
                          <a:prstGeom prst="rect">
                            <a:avLst/>
                          </a:prstGeom>
                        </pic:spPr>
                      </pic:pic>
                    </a:graphicData>
                  </a:graphic>
                </wp:inline>
              </w:drawing>
            </w:r>
          </w:p>
        </w:tc>
      </w:tr>
    </w:tbl>
    <w:p w14:paraId="552B1AEE" w14:textId="77777777" w:rsidR="00DE0965" w:rsidRDefault="004163D7">
      <w:pPr>
        <w:rPr>
          <w:sz w:val="8"/>
          <w:szCs w:val="8"/>
        </w:rPr>
      </w:pPr>
      <w:r>
        <w:rPr>
          <w:sz w:val="8"/>
          <w:szCs w:val="8"/>
        </w:rPr>
        <w:br/>
      </w:r>
    </w:p>
    <w:tbl>
      <w:tblPr>
        <w:tblStyle w:val="TabelleEinfach1"/>
        <w:tblW w:w="5114" w:type="pct"/>
        <w:tblLayout w:type="fixed"/>
        <w:tblCellMar>
          <w:left w:w="0" w:type="dxa"/>
          <w:right w:w="227" w:type="dxa"/>
        </w:tblCellMar>
        <w:tblLook w:val="04A0" w:firstRow="1" w:lastRow="0" w:firstColumn="1" w:lastColumn="0" w:noHBand="0" w:noVBand="1"/>
      </w:tblPr>
      <w:tblGrid>
        <w:gridCol w:w="3413"/>
        <w:gridCol w:w="3413"/>
        <w:gridCol w:w="3148"/>
      </w:tblGrid>
      <w:tr w:rsidR="00DE0965" w14:paraId="13CB35D2" w14:textId="77777777" w:rsidTr="002825DF">
        <w:tc>
          <w:tcPr>
            <w:tcW w:w="3422" w:type="pct"/>
            <w:gridSpan w:val="2"/>
            <w:tcBorders>
              <w:top w:val="nil"/>
              <w:left w:val="nil"/>
              <w:bottom w:val="nil"/>
              <w:right w:val="nil"/>
            </w:tcBorders>
            <w:tcMar>
              <w:top w:w="0" w:type="dxa"/>
              <w:left w:w="0" w:type="dxa"/>
              <w:bottom w:w="0" w:type="dxa"/>
              <w:right w:w="227" w:type="dxa"/>
            </w:tcMar>
          </w:tcPr>
          <w:p w14:paraId="3CAEAB81" w14:textId="77777777" w:rsidR="002825DF" w:rsidRDefault="002825DF">
            <w:pPr>
              <w:spacing w:after="240"/>
              <w:rPr>
                <w:i/>
                <w:iCs/>
                <w:sz w:val="20"/>
                <w:szCs w:val="20"/>
              </w:rPr>
            </w:pPr>
          </w:p>
          <w:p w14:paraId="71B5123F" w14:textId="3F0BA466" w:rsidR="00DE0965" w:rsidRDefault="004163D7">
            <w:pPr>
              <w:spacing w:after="240"/>
              <w:rPr>
                <w:sz w:val="20"/>
                <w:szCs w:val="20"/>
              </w:rPr>
            </w:pPr>
            <w:r>
              <w:rPr>
                <w:i/>
                <w:iCs/>
                <w:sz w:val="20"/>
                <w:szCs w:val="20"/>
              </w:rPr>
              <w:t>Wenn Profisportler Höchstleistungen abrufen sollen, spielt die Umgebung eine entscheidende Rolle. 2025 realisierte die Schreinerei Stahlmann gemeinsam mit zahlreichen Projektpartnern die komplette Modernisierung der Teamräume des BBC in der Oberfrankenhalle Bayreuth. Entstanden sind eine neue Basketballkabine, moderne Sanitärbereiche, ein Physioraum sowie eine Aufenthaltszone. Eine Schlüsselrolle spielt dabei das Lichtkonzept mit Lösungen von Häfele Lighting, das Funktionalität, Atmosphäre und Wohlbefinden verbindet.</w:t>
            </w:r>
          </w:p>
          <w:p w14:paraId="4A89E968" w14:textId="6458D5B6" w:rsidR="00DE0965" w:rsidRDefault="004163D7">
            <w:pPr>
              <w:spacing w:after="240"/>
              <w:rPr>
                <w:sz w:val="20"/>
                <w:szCs w:val="20"/>
              </w:rPr>
            </w:pPr>
            <w:r>
              <w:rPr>
                <w:sz w:val="20"/>
                <w:szCs w:val="20"/>
              </w:rPr>
              <w:t xml:space="preserve">Als die Verantwortlichen des Vereins gemeinsam mit </w:t>
            </w:r>
            <w:r w:rsidR="002825DF">
              <w:rPr>
                <w:sz w:val="20"/>
                <w:szCs w:val="20"/>
              </w:rPr>
              <w:t xml:space="preserve">dem </w:t>
            </w:r>
            <w:r>
              <w:rPr>
                <w:sz w:val="20"/>
                <w:szCs w:val="20"/>
              </w:rPr>
              <w:t>Sponsor „Medikamente per Klick“ die Modernisierung der in die Jahre gekommenen Teamräume anstießen, war schnell klar: Es sollte mehr als eine reine Renovierung werden. Gesucht wurde ein Konzept, das den Anforderungen eines modernen Profisportstandorts gerecht wird.</w:t>
            </w:r>
          </w:p>
          <w:p w14:paraId="27CC11A0" w14:textId="77777777" w:rsidR="00DE0965" w:rsidRDefault="004163D7">
            <w:pPr>
              <w:spacing w:after="240"/>
              <w:rPr>
                <w:sz w:val="20"/>
                <w:szCs w:val="20"/>
              </w:rPr>
            </w:pPr>
            <w:r>
              <w:rPr>
                <w:b/>
                <w:bCs/>
                <w:sz w:val="20"/>
                <w:szCs w:val="20"/>
              </w:rPr>
              <w:t>Von der ersten Idee zur „Champions League“</w:t>
            </w:r>
          </w:p>
          <w:p w14:paraId="5ACCEE9B" w14:textId="77777777" w:rsidR="00DE0965" w:rsidRDefault="004163D7">
            <w:pPr>
              <w:spacing w:after="240"/>
              <w:rPr>
                <w:sz w:val="20"/>
                <w:szCs w:val="20"/>
              </w:rPr>
            </w:pPr>
            <w:r>
              <w:rPr>
                <w:sz w:val="20"/>
                <w:szCs w:val="20"/>
              </w:rPr>
              <w:t>„Als wir den Auftrag bekommen haben, war schnell klar, dass wir eine Komplettlösung liefern wollen. Über Häfele kamen wir sehr früh auf das Thema Beleuchtung. Gemeinsam mit Beschlägen, Schubkästen, Küchentechnik und weiteren Komponenten ist daraus ein Projekt entstanden, bei dem das Licht ganz klar das Highlight ist. Trotz des engen Zeitplans haben wir am Ende etwas geschaffen, das für mich Champions League ist“, so Helmuth Mai, Geschäftsführer der Schreinerei Stahlmann.</w:t>
            </w:r>
          </w:p>
          <w:p w14:paraId="02EA9517" w14:textId="77777777" w:rsidR="00DE0965" w:rsidRDefault="004163D7">
            <w:pPr>
              <w:spacing w:after="240"/>
              <w:rPr>
                <w:sz w:val="20"/>
                <w:szCs w:val="20"/>
              </w:rPr>
            </w:pPr>
            <w:r>
              <w:rPr>
                <w:sz w:val="20"/>
                <w:szCs w:val="20"/>
              </w:rPr>
              <w:lastRenderedPageBreak/>
              <w:t>Gemeinsam mit dem Architekturbüro Nickl &amp; Wachter, dem Bauunternehmen Dechant, BT-Elektro und weiteren Projektbeteiligten entstand innerhalb weniger Monate ein vollständig neues Raumkonzept.</w:t>
            </w:r>
          </w:p>
          <w:p w14:paraId="7C665297" w14:textId="77777777" w:rsidR="00DE0965" w:rsidRDefault="004163D7">
            <w:pPr>
              <w:spacing w:after="240"/>
              <w:rPr>
                <w:sz w:val="20"/>
                <w:szCs w:val="20"/>
              </w:rPr>
            </w:pPr>
            <w:r>
              <w:rPr>
                <w:sz w:val="20"/>
                <w:szCs w:val="20"/>
              </w:rPr>
              <w:t>Die bestehende U-förmige Anordnung der Einzelplätze in der Mannschaftskabine blieb dabei erhalten, wurde jedoch komplett neu interpretiert. Entstanden sind 14 hochwertige Spielerplätze mit anthrazitfarbenen Spinden, Sitzbänken und abschließbaren Wertfächern. Namen und Rückennummern der Spieler prägen die Gestaltung und stärken die Identifikation mit Team und Verein.</w:t>
            </w:r>
          </w:p>
          <w:p w14:paraId="7C7B76BF" w14:textId="77777777" w:rsidR="00DE0965" w:rsidRDefault="004163D7">
            <w:pPr>
              <w:spacing w:after="240"/>
              <w:rPr>
                <w:sz w:val="20"/>
                <w:szCs w:val="20"/>
              </w:rPr>
            </w:pPr>
            <w:r>
              <w:rPr>
                <w:sz w:val="20"/>
                <w:szCs w:val="20"/>
              </w:rPr>
              <w:t>Eine neue Medienwand mit großformatigem Bildschirm und Whiteboard erweitert die Kabine um einen zentralen Kommunikations- und Analysebereich. Ergänzt wird der Aufenthaltsbereich für die Spieler durch modernisierte Sanitär- und Duschräume, einen Physioraum sowie eine kleine Küche mit Aufenthaltsbereich.</w:t>
            </w:r>
          </w:p>
          <w:p w14:paraId="278772F3" w14:textId="77777777" w:rsidR="00DE0965" w:rsidRDefault="004163D7">
            <w:pPr>
              <w:spacing w:after="240"/>
              <w:rPr>
                <w:sz w:val="20"/>
                <w:szCs w:val="20"/>
              </w:rPr>
            </w:pPr>
            <w:r>
              <w:rPr>
                <w:b/>
                <w:bCs/>
                <w:sz w:val="20"/>
                <w:szCs w:val="20"/>
              </w:rPr>
              <w:t>Licht als Teil des Trainingskonzepts</w:t>
            </w:r>
          </w:p>
          <w:p w14:paraId="1251ADF8" w14:textId="77777777" w:rsidR="00DE0965" w:rsidRDefault="004163D7">
            <w:pPr>
              <w:spacing w:after="240"/>
              <w:rPr>
                <w:sz w:val="20"/>
                <w:szCs w:val="20"/>
              </w:rPr>
            </w:pPr>
            <w:r>
              <w:rPr>
                <w:sz w:val="20"/>
                <w:szCs w:val="20"/>
              </w:rPr>
              <w:t>Das prägende Gestaltungselement des Projekts ist die Beleuchtung. Mit ihrer unmittelbaren Raumwirkung nimmt sie einen entscheidenden Einfluss auf das Befinden der Spieler in den Phasen vor und nach dem Einsatz. So stehen in der Kabine vier unterschiedliche Lichtstimmungen zur Verfügung: Kaltweißes Licht unterstützt die Aktivierung und mentale Vorbereitung vor dem Spiel. Warmweiß gedimmtes Licht schafft nach dem Spiel eine entspannte Atmosphäre. Für Regenerationsphasen lässt sich die Beleuchtung weiter reduzieren. Eine zusätzliche Szene konzentriert sich auf die Medienwand und unterstützt Videoanalysen und Teambesprechungen. All diese Szenen wurden in der Häfele Connect Mesh App voreingestellt und sind über einen wandmontierten Vierfachtastschalter ganz einfach anwählbar.</w:t>
            </w:r>
          </w:p>
          <w:p w14:paraId="628BC6D4" w14:textId="77777777" w:rsidR="00DE0965" w:rsidRDefault="004163D7">
            <w:pPr>
              <w:spacing w:after="240"/>
              <w:rPr>
                <w:sz w:val="20"/>
                <w:szCs w:val="20"/>
              </w:rPr>
            </w:pPr>
            <w:r>
              <w:rPr>
                <w:sz w:val="20"/>
                <w:szCs w:val="20"/>
              </w:rPr>
              <w:t>Zusätzlich sorgen exakt auf die Vereinsfarbe Grün abgestimmte RGB-Lichtlinien für emotionale Akzente und eine starke Markenidentität. Indirekte Deckenbeleuchtung, beleuchtete Sockelbereiche und integrierte Tunable White-Lösungen in den einzelnen Spinden schaffen eine akzentuierte und zugleich funktionale Raumwirkung.</w:t>
            </w:r>
          </w:p>
          <w:p w14:paraId="275794A6" w14:textId="77777777" w:rsidR="00DE0965" w:rsidRDefault="004163D7">
            <w:pPr>
              <w:spacing w:after="240"/>
              <w:rPr>
                <w:sz w:val="20"/>
                <w:szCs w:val="20"/>
              </w:rPr>
            </w:pPr>
            <w:r>
              <w:rPr>
                <w:sz w:val="20"/>
                <w:szCs w:val="20"/>
              </w:rPr>
              <w:t>Auch in den Sanitärbereichen setzt sich das Konzept fort. Indirekte Beleuchtung an Spiegeln und Decken erzeugt eine ruhige Atmosphäre. Die Duschen, Waschtische und Umkleidezonen wirken dadurch deutlich heller, großzügiger und hochwertiger als zuvor.</w:t>
            </w:r>
          </w:p>
          <w:p w14:paraId="65EE71C7" w14:textId="77777777" w:rsidR="00DE0965" w:rsidRDefault="004163D7">
            <w:pPr>
              <w:spacing w:after="240"/>
              <w:rPr>
                <w:sz w:val="20"/>
                <w:szCs w:val="20"/>
              </w:rPr>
            </w:pPr>
            <w:r>
              <w:rPr>
                <w:b/>
                <w:bCs/>
                <w:sz w:val="20"/>
                <w:szCs w:val="20"/>
              </w:rPr>
              <w:t>Gänsehautmoment in Bayreuth</w:t>
            </w:r>
          </w:p>
          <w:p w14:paraId="078FD875" w14:textId="77777777" w:rsidR="00DE0965" w:rsidRDefault="004163D7">
            <w:pPr>
              <w:spacing w:after="240"/>
              <w:rPr>
                <w:sz w:val="20"/>
                <w:szCs w:val="20"/>
              </w:rPr>
            </w:pPr>
            <w:r>
              <w:rPr>
                <w:sz w:val="20"/>
                <w:szCs w:val="20"/>
              </w:rPr>
              <w:t>Wie sehr das neue Raumkonzept von den späteren Nutzern angenommen wird, zeigte sich bei der Übergabe der fertigen Kabine. Für Helmuth Mai war dieser Moment einer der Höhepunkte des gesamten Projekts.</w:t>
            </w:r>
          </w:p>
          <w:p w14:paraId="442B6C44" w14:textId="77777777" w:rsidR="002825DF" w:rsidRDefault="002825DF">
            <w:pPr>
              <w:spacing w:after="240"/>
              <w:rPr>
                <w:sz w:val="20"/>
                <w:szCs w:val="20"/>
              </w:rPr>
            </w:pPr>
          </w:p>
          <w:p w14:paraId="346FA8F7" w14:textId="77777777" w:rsidR="00DE0965" w:rsidRDefault="004163D7">
            <w:pPr>
              <w:spacing w:after="240"/>
              <w:rPr>
                <w:sz w:val="20"/>
                <w:szCs w:val="20"/>
              </w:rPr>
            </w:pPr>
            <w:r>
              <w:rPr>
                <w:sz w:val="20"/>
                <w:szCs w:val="20"/>
              </w:rPr>
              <w:t>„Ich durfte im Nebenraum miterleben, wie die Basketballer zum ersten Mal ihre neue Kabine betreten haben. Die sind vor Freude ausgeflippt wie kleine Kinder an Weihnachten. Da hatte ich wirklich Gänsehaut“, erinnert sich Mai.</w:t>
            </w:r>
          </w:p>
          <w:p w14:paraId="3AB1E8DE" w14:textId="77777777" w:rsidR="00DE0965" w:rsidRDefault="004163D7">
            <w:pPr>
              <w:spacing w:after="240"/>
              <w:rPr>
                <w:sz w:val="20"/>
                <w:szCs w:val="20"/>
              </w:rPr>
            </w:pPr>
            <w:r>
              <w:rPr>
                <w:sz w:val="20"/>
                <w:szCs w:val="20"/>
              </w:rPr>
              <w:t>Die Begeisterung der Spieler hat für ihn eine besondere Bedeutung. Schließlich ist Basketball in Bayreuth weit mehr als nur eine Sportart. Die Stadt zählt zu den traditionsreichsten Basketballstandorten Deutschlands. Bereits in den 1950er- und 1960er-Jahren entwickelte sich hier eine außergewöhnlich starke Basketballkultur. Meisterschaften und Pokalsiege machten Bayreuth bundesweit bekannt, bis heute ist Basketball ein wichtiger Bestandteil der lokalen Identität. Umso größer war der Anspruch aller Beteiligten, den Spielern nicht nur eine neue Umkleide, sondern ein zeitgemäßes Zuhause innerhalb der Oberfrankenhalle zu schaffen.</w:t>
            </w:r>
          </w:p>
          <w:p w14:paraId="563F5E05" w14:textId="77777777" w:rsidR="00DE0965" w:rsidRDefault="004163D7">
            <w:pPr>
              <w:spacing w:after="240"/>
              <w:rPr>
                <w:sz w:val="20"/>
                <w:szCs w:val="20"/>
              </w:rPr>
            </w:pPr>
            <w:r>
              <w:rPr>
                <w:b/>
                <w:bCs/>
                <w:sz w:val="20"/>
                <w:szCs w:val="20"/>
              </w:rPr>
              <w:t>Alles aus einer Hand – mit Häfele als Systempartner</w:t>
            </w:r>
          </w:p>
          <w:p w14:paraId="5806C9B2" w14:textId="77777777" w:rsidR="00DE0965" w:rsidRDefault="004163D7">
            <w:pPr>
              <w:spacing w:after="240"/>
              <w:rPr>
                <w:sz w:val="20"/>
                <w:szCs w:val="20"/>
              </w:rPr>
            </w:pPr>
            <w:r>
              <w:rPr>
                <w:sz w:val="20"/>
                <w:szCs w:val="20"/>
              </w:rPr>
              <w:t>Die Vielzahl der eingesetzten Lösungen zeigt den ganzheitlichen Ansatz des Projekts. Neben dem LED Beleuchtungssystem von Häfele Lighting kamen zahlreiche weitere Produkte des Nagolder Spezialisten zum Einsatz. Für die Schreinerei Stahlmann lag darin ein entscheidender Vorteil: Planung, Technik und Gestaltung konnten aufeinander abgestimmt werden, ohne unterschiedliche Hersteller koordinieren zu müssen. Das Ergebnis sind durchgängige Abläufe in der Fertigung und Montage sowie ein stimmiges Raumerlebnis für die Nutzer.</w:t>
            </w:r>
          </w:p>
          <w:p w14:paraId="17749060" w14:textId="77777777" w:rsidR="00DE0965" w:rsidRDefault="004163D7">
            <w:pPr>
              <w:spacing w:after="240"/>
              <w:rPr>
                <w:sz w:val="20"/>
                <w:szCs w:val="20"/>
              </w:rPr>
            </w:pPr>
            <w:r>
              <w:rPr>
                <w:sz w:val="20"/>
                <w:szCs w:val="20"/>
              </w:rPr>
              <w:t>In der Oberfrankenhalle Bayreuth entstand also weit mehr als eine neue Umkleidekabine. Die modernisierten Teamräume verbinden Identität, Funktion und Atmosphäre zu einem Umfeld, das die Spieler des BBC Bayreuth in jeder Phase unterstützt – von der Vorbereitung über die Leistungsphase bis zur Regeneration. Und sie zeigen eindrucksvoll, welchen Beitrag intelligenter Innenausbau und durchdachte Lichtplanung in einem engagierten Gesamtteam zur Qualität moderner Sportstätten leisten können.</w:t>
            </w:r>
          </w:p>
          <w:p w14:paraId="6DD37D20" w14:textId="77777777" w:rsidR="00DE0965" w:rsidRDefault="004163D7">
            <w:pPr>
              <w:spacing w:after="240"/>
              <w:rPr>
                <w:sz w:val="20"/>
                <w:szCs w:val="20"/>
              </w:rPr>
            </w:pPr>
            <w:r>
              <w:rPr>
                <w:sz w:val="20"/>
                <w:szCs w:val="20"/>
              </w:rPr>
              <w:t>Häfele, September 2026</w:t>
            </w:r>
            <w:r>
              <w:rPr>
                <w:sz w:val="20"/>
                <w:szCs w:val="20"/>
              </w:rPr>
              <w:br/>
              <w:t>Abdruck honorarfrei / Beleg erbeten</w:t>
            </w:r>
          </w:p>
          <w:p w14:paraId="075FCDB5" w14:textId="77777777" w:rsidR="002825DF" w:rsidRDefault="002825DF">
            <w:pPr>
              <w:spacing w:after="240"/>
              <w:rPr>
                <w:b/>
                <w:bCs/>
                <w:sz w:val="20"/>
                <w:szCs w:val="20"/>
              </w:rPr>
            </w:pPr>
          </w:p>
          <w:p w14:paraId="50F425B9" w14:textId="77777777" w:rsidR="008073ED" w:rsidRDefault="008073ED">
            <w:pPr>
              <w:spacing w:after="240"/>
              <w:rPr>
                <w:b/>
                <w:bCs/>
                <w:sz w:val="20"/>
                <w:szCs w:val="20"/>
              </w:rPr>
            </w:pPr>
          </w:p>
          <w:p w14:paraId="66EB25B0" w14:textId="77777777" w:rsidR="008073ED" w:rsidRDefault="008073ED">
            <w:pPr>
              <w:spacing w:after="240"/>
              <w:rPr>
                <w:b/>
                <w:bCs/>
                <w:sz w:val="20"/>
                <w:szCs w:val="20"/>
              </w:rPr>
            </w:pPr>
          </w:p>
          <w:p w14:paraId="50A31103" w14:textId="77777777" w:rsidR="008073ED" w:rsidRDefault="008073ED">
            <w:pPr>
              <w:spacing w:after="240"/>
              <w:rPr>
                <w:b/>
                <w:bCs/>
                <w:sz w:val="20"/>
                <w:szCs w:val="20"/>
              </w:rPr>
            </w:pPr>
          </w:p>
          <w:p w14:paraId="4E40CA56" w14:textId="77777777" w:rsidR="008073ED" w:rsidRDefault="008073ED">
            <w:pPr>
              <w:spacing w:after="240"/>
              <w:rPr>
                <w:b/>
                <w:bCs/>
                <w:sz w:val="20"/>
                <w:szCs w:val="20"/>
              </w:rPr>
            </w:pPr>
          </w:p>
          <w:p w14:paraId="6574350D" w14:textId="1AD09069" w:rsidR="00DE0965" w:rsidRDefault="004163D7">
            <w:pPr>
              <w:spacing w:after="240"/>
              <w:rPr>
                <w:sz w:val="20"/>
                <w:szCs w:val="20"/>
              </w:rPr>
            </w:pPr>
            <w:r>
              <w:rPr>
                <w:b/>
                <w:bCs/>
                <w:sz w:val="20"/>
                <w:szCs w:val="20"/>
              </w:rPr>
              <w:lastRenderedPageBreak/>
              <w:t>Daten + Fakten</w:t>
            </w:r>
          </w:p>
          <w:p w14:paraId="36241A73" w14:textId="77777777" w:rsidR="00DE0965" w:rsidRDefault="004163D7">
            <w:pPr>
              <w:spacing w:after="240"/>
              <w:rPr>
                <w:sz w:val="20"/>
                <w:szCs w:val="20"/>
              </w:rPr>
            </w:pPr>
            <w:r>
              <w:rPr>
                <w:b/>
                <w:bCs/>
                <w:sz w:val="20"/>
                <w:szCs w:val="20"/>
              </w:rPr>
              <w:t>Projekt:</w:t>
            </w:r>
            <w:r>
              <w:rPr>
                <w:sz w:val="20"/>
                <w:szCs w:val="20"/>
              </w:rPr>
              <w:t xml:space="preserve"> Modernisierung der Teamräume des BBC Bayreuth</w:t>
            </w:r>
            <w:r>
              <w:rPr>
                <w:sz w:val="20"/>
                <w:szCs w:val="20"/>
              </w:rPr>
              <w:br/>
            </w:r>
            <w:r>
              <w:rPr>
                <w:b/>
                <w:bCs/>
                <w:sz w:val="20"/>
                <w:szCs w:val="20"/>
              </w:rPr>
              <w:t>Standort:</w:t>
            </w:r>
            <w:r>
              <w:rPr>
                <w:sz w:val="20"/>
                <w:szCs w:val="20"/>
              </w:rPr>
              <w:t xml:space="preserve"> Oberfrankenhalle Bayreuth, Am Sportpark 3, 95448 Bayreuth</w:t>
            </w:r>
            <w:r>
              <w:rPr>
                <w:sz w:val="20"/>
                <w:szCs w:val="20"/>
              </w:rPr>
              <w:br/>
            </w:r>
            <w:r>
              <w:rPr>
                <w:b/>
                <w:bCs/>
                <w:sz w:val="20"/>
                <w:szCs w:val="20"/>
              </w:rPr>
              <w:t>Bauherr:</w:t>
            </w:r>
            <w:r>
              <w:rPr>
                <w:sz w:val="20"/>
                <w:szCs w:val="20"/>
              </w:rPr>
              <w:t xml:space="preserve"> BBC Bayreuth e. V., Bayreuth</w:t>
            </w:r>
            <w:r>
              <w:rPr>
                <w:sz w:val="20"/>
                <w:szCs w:val="20"/>
              </w:rPr>
              <w:br/>
            </w:r>
            <w:r>
              <w:rPr>
                <w:b/>
                <w:bCs/>
                <w:sz w:val="20"/>
                <w:szCs w:val="20"/>
              </w:rPr>
              <w:t>Architektur / Planung:</w:t>
            </w:r>
            <w:r>
              <w:rPr>
                <w:sz w:val="20"/>
                <w:szCs w:val="20"/>
              </w:rPr>
              <w:t xml:space="preserve"> Nickl &amp; Wachter Architekten GmbH, Bayreuth</w:t>
            </w:r>
            <w:r>
              <w:rPr>
                <w:sz w:val="20"/>
                <w:szCs w:val="20"/>
              </w:rPr>
              <w:br/>
            </w:r>
            <w:r>
              <w:rPr>
                <w:b/>
                <w:bCs/>
                <w:sz w:val="20"/>
                <w:szCs w:val="20"/>
              </w:rPr>
              <w:t>Verarbeiter:</w:t>
            </w:r>
            <w:r>
              <w:rPr>
                <w:sz w:val="20"/>
                <w:szCs w:val="20"/>
              </w:rPr>
              <w:t xml:space="preserve"> Schreinerei Stahlmann GmbH, Auerbach in der Oberpfalz</w:t>
            </w:r>
            <w:r>
              <w:rPr>
                <w:sz w:val="20"/>
                <w:szCs w:val="20"/>
              </w:rPr>
              <w:br/>
            </w:r>
            <w:r>
              <w:rPr>
                <w:b/>
                <w:bCs/>
                <w:sz w:val="20"/>
                <w:szCs w:val="20"/>
              </w:rPr>
              <w:t>Fertigstellung:</w:t>
            </w:r>
            <w:r>
              <w:rPr>
                <w:sz w:val="20"/>
                <w:szCs w:val="20"/>
              </w:rPr>
              <w:t xml:space="preserve"> 2025</w:t>
            </w:r>
          </w:p>
          <w:p w14:paraId="221788BE" w14:textId="77777777" w:rsidR="00DE0965" w:rsidRDefault="004163D7">
            <w:pPr>
              <w:spacing w:after="240"/>
              <w:rPr>
                <w:sz w:val="20"/>
                <w:szCs w:val="20"/>
              </w:rPr>
            </w:pPr>
            <w:r>
              <w:rPr>
                <w:b/>
                <w:bCs/>
                <w:sz w:val="20"/>
                <w:szCs w:val="20"/>
              </w:rPr>
              <w:t>Weitere Projektpartner:</w:t>
            </w:r>
          </w:p>
          <w:p w14:paraId="7BE5A821" w14:textId="77777777" w:rsidR="00DE0965" w:rsidRDefault="004163D7">
            <w:pPr>
              <w:spacing w:after="240"/>
              <w:rPr>
                <w:sz w:val="20"/>
                <w:szCs w:val="20"/>
              </w:rPr>
            </w:pPr>
            <w:r>
              <w:rPr>
                <w:sz w:val="20"/>
                <w:szCs w:val="20"/>
              </w:rPr>
              <w:t>Medikamente per Klick GmbH, Bad Steben (Projektinitiator und Sponsor)</w:t>
            </w:r>
            <w:r>
              <w:rPr>
                <w:sz w:val="20"/>
                <w:szCs w:val="20"/>
              </w:rPr>
              <w:br/>
              <w:t>Dechant Hoch- und Ingenieurbau GmbH, Weismain</w:t>
            </w:r>
            <w:r>
              <w:rPr>
                <w:sz w:val="20"/>
                <w:szCs w:val="20"/>
              </w:rPr>
              <w:br/>
              <w:t>BT-Elektro GmbH, Bayreuth</w:t>
            </w:r>
          </w:p>
          <w:p w14:paraId="346FE24A" w14:textId="77777777" w:rsidR="00DE0965" w:rsidRDefault="004163D7">
            <w:pPr>
              <w:spacing w:after="240"/>
              <w:rPr>
                <w:sz w:val="20"/>
                <w:szCs w:val="20"/>
              </w:rPr>
            </w:pPr>
            <w:r>
              <w:rPr>
                <w:b/>
                <w:bCs/>
                <w:sz w:val="20"/>
                <w:szCs w:val="20"/>
              </w:rPr>
              <w:t>Häfele Lösungen</w:t>
            </w:r>
          </w:p>
          <w:p w14:paraId="434904BA" w14:textId="77777777" w:rsidR="00DE0965" w:rsidRDefault="004163D7">
            <w:pPr>
              <w:spacing w:after="240"/>
              <w:rPr>
                <w:sz w:val="20"/>
                <w:szCs w:val="20"/>
              </w:rPr>
            </w:pPr>
            <w:r>
              <w:rPr>
                <w:b/>
                <w:bCs/>
                <w:sz w:val="20"/>
                <w:szCs w:val="20"/>
              </w:rPr>
              <w:t>Häfele Lighting</w:t>
            </w:r>
          </w:p>
          <w:p w14:paraId="63473739" w14:textId="77777777" w:rsidR="00DE0965" w:rsidRDefault="004163D7">
            <w:pPr>
              <w:numPr>
                <w:ilvl w:val="0"/>
                <w:numId w:val="1"/>
              </w:numPr>
              <w:ind w:firstLine="0"/>
              <w:rPr>
                <w:sz w:val="20"/>
                <w:szCs w:val="20"/>
              </w:rPr>
            </w:pPr>
            <w:r>
              <w:rPr>
                <w:sz w:val="20"/>
                <w:szCs w:val="20"/>
              </w:rPr>
              <w:t>Häfele Lighting RGB LED-Bänder + Zubehör</w:t>
            </w:r>
          </w:p>
          <w:p w14:paraId="3E1E75E0" w14:textId="77777777" w:rsidR="00DE0965" w:rsidRDefault="004163D7">
            <w:pPr>
              <w:numPr>
                <w:ilvl w:val="0"/>
                <w:numId w:val="1"/>
              </w:numPr>
              <w:ind w:firstLine="0"/>
              <w:rPr>
                <w:sz w:val="20"/>
                <w:szCs w:val="20"/>
              </w:rPr>
            </w:pPr>
            <w:r>
              <w:rPr>
                <w:sz w:val="20"/>
                <w:szCs w:val="20"/>
              </w:rPr>
              <w:t>Häfele Connect Mesh Verteiler</w:t>
            </w:r>
          </w:p>
          <w:p w14:paraId="510BF2F3" w14:textId="77777777" w:rsidR="008073ED" w:rsidRDefault="008073ED" w:rsidP="008073ED">
            <w:pPr>
              <w:ind w:left="720"/>
              <w:rPr>
                <w:sz w:val="20"/>
                <w:szCs w:val="20"/>
              </w:rPr>
            </w:pPr>
          </w:p>
          <w:p w14:paraId="319CE8FE" w14:textId="77777777" w:rsidR="00DE0965" w:rsidRDefault="004163D7">
            <w:pPr>
              <w:spacing w:after="240"/>
              <w:rPr>
                <w:sz w:val="20"/>
                <w:szCs w:val="20"/>
              </w:rPr>
            </w:pPr>
            <w:r>
              <w:rPr>
                <w:b/>
                <w:bCs/>
                <w:sz w:val="20"/>
                <w:szCs w:val="20"/>
              </w:rPr>
              <w:t>Häfele Schiebelösungen</w:t>
            </w:r>
          </w:p>
          <w:p w14:paraId="6BA33136" w14:textId="77777777" w:rsidR="00DE0965" w:rsidRDefault="004163D7">
            <w:pPr>
              <w:numPr>
                <w:ilvl w:val="0"/>
                <w:numId w:val="2"/>
              </w:numPr>
              <w:ind w:firstLine="0"/>
              <w:rPr>
                <w:sz w:val="20"/>
                <w:szCs w:val="20"/>
              </w:rPr>
            </w:pPr>
            <w:r>
              <w:rPr>
                <w:sz w:val="20"/>
                <w:szCs w:val="20"/>
              </w:rPr>
              <w:t>Slido F-Line21</w:t>
            </w:r>
          </w:p>
          <w:p w14:paraId="6EA3D5C2" w14:textId="77777777" w:rsidR="00DE0965" w:rsidRDefault="004163D7">
            <w:pPr>
              <w:numPr>
                <w:ilvl w:val="0"/>
                <w:numId w:val="2"/>
              </w:numPr>
              <w:ind w:firstLine="0"/>
              <w:rPr>
                <w:sz w:val="20"/>
                <w:szCs w:val="20"/>
              </w:rPr>
            </w:pPr>
            <w:r>
              <w:rPr>
                <w:sz w:val="20"/>
                <w:szCs w:val="20"/>
              </w:rPr>
              <w:t>Slido D-Line12</w:t>
            </w:r>
          </w:p>
          <w:p w14:paraId="6943C4E1" w14:textId="77777777" w:rsidR="008073ED" w:rsidRDefault="008073ED" w:rsidP="008073ED">
            <w:pPr>
              <w:ind w:left="720"/>
              <w:rPr>
                <w:sz w:val="20"/>
                <w:szCs w:val="20"/>
              </w:rPr>
            </w:pPr>
          </w:p>
          <w:p w14:paraId="1E4C581C" w14:textId="77777777" w:rsidR="00DE0965" w:rsidRDefault="004163D7">
            <w:pPr>
              <w:spacing w:after="240"/>
              <w:rPr>
                <w:sz w:val="20"/>
                <w:szCs w:val="20"/>
              </w:rPr>
            </w:pPr>
            <w:r>
              <w:rPr>
                <w:b/>
                <w:bCs/>
                <w:sz w:val="20"/>
                <w:szCs w:val="20"/>
              </w:rPr>
              <w:t>Möbelbeschläge</w:t>
            </w:r>
          </w:p>
          <w:p w14:paraId="71DCDB8C" w14:textId="77777777" w:rsidR="00DE0965" w:rsidRDefault="004163D7">
            <w:pPr>
              <w:numPr>
                <w:ilvl w:val="0"/>
                <w:numId w:val="3"/>
              </w:numPr>
              <w:ind w:firstLine="0"/>
              <w:rPr>
                <w:sz w:val="20"/>
                <w:szCs w:val="20"/>
              </w:rPr>
            </w:pPr>
            <w:r>
              <w:rPr>
                <w:sz w:val="20"/>
                <w:szCs w:val="20"/>
              </w:rPr>
              <w:t>Sockelsystem Häfele AXILO</w:t>
            </w:r>
          </w:p>
          <w:p w14:paraId="40DF7E99" w14:textId="77777777" w:rsidR="00DE0965" w:rsidRDefault="004163D7">
            <w:pPr>
              <w:numPr>
                <w:ilvl w:val="0"/>
                <w:numId w:val="3"/>
              </w:numPr>
              <w:ind w:firstLine="0"/>
              <w:rPr>
                <w:sz w:val="20"/>
                <w:szCs w:val="20"/>
              </w:rPr>
            </w:pPr>
            <w:r>
              <w:rPr>
                <w:sz w:val="20"/>
                <w:szCs w:val="20"/>
              </w:rPr>
              <w:t>Mechanisches Riegelschloss Häfele Symo + Zubehör</w:t>
            </w:r>
          </w:p>
          <w:p w14:paraId="59088D6B" w14:textId="77777777" w:rsidR="00DE0965" w:rsidRDefault="004163D7">
            <w:pPr>
              <w:numPr>
                <w:ilvl w:val="0"/>
                <w:numId w:val="3"/>
              </w:numPr>
              <w:ind w:firstLine="0"/>
              <w:rPr>
                <w:sz w:val="20"/>
                <w:szCs w:val="20"/>
              </w:rPr>
            </w:pPr>
            <w:r>
              <w:rPr>
                <w:sz w:val="20"/>
                <w:szCs w:val="20"/>
              </w:rPr>
              <w:t>Elektronisches Zahlenschloss, mit Tastaturfeld</w:t>
            </w:r>
          </w:p>
          <w:p w14:paraId="382639E8" w14:textId="77777777" w:rsidR="00DE0965" w:rsidRDefault="004163D7">
            <w:pPr>
              <w:numPr>
                <w:ilvl w:val="0"/>
                <w:numId w:val="3"/>
              </w:numPr>
              <w:ind w:firstLine="0"/>
              <w:rPr>
                <w:sz w:val="20"/>
                <w:szCs w:val="20"/>
              </w:rPr>
            </w:pPr>
            <w:r>
              <w:rPr>
                <w:sz w:val="20"/>
                <w:szCs w:val="20"/>
              </w:rPr>
              <w:t>Paneel-Montagesystem Häfele Eilox</w:t>
            </w:r>
          </w:p>
          <w:p w14:paraId="2D8852AC" w14:textId="77777777" w:rsidR="00DE0965" w:rsidRDefault="004163D7">
            <w:pPr>
              <w:numPr>
                <w:ilvl w:val="0"/>
                <w:numId w:val="3"/>
              </w:numPr>
              <w:ind w:firstLine="0"/>
              <w:rPr>
                <w:sz w:val="20"/>
                <w:szCs w:val="20"/>
              </w:rPr>
            </w:pPr>
            <w:r>
              <w:rPr>
                <w:sz w:val="20"/>
                <w:szCs w:val="20"/>
              </w:rPr>
              <w:t>Wäschekorb stapelbar</w:t>
            </w:r>
          </w:p>
          <w:p w14:paraId="2B3D085E" w14:textId="77777777" w:rsidR="008073ED" w:rsidRDefault="008073ED" w:rsidP="008073ED">
            <w:pPr>
              <w:ind w:left="720"/>
              <w:rPr>
                <w:sz w:val="20"/>
                <w:szCs w:val="20"/>
              </w:rPr>
            </w:pPr>
          </w:p>
          <w:p w14:paraId="61D85EB5" w14:textId="77777777" w:rsidR="00DE0965" w:rsidRDefault="004163D7">
            <w:pPr>
              <w:spacing w:after="240"/>
              <w:rPr>
                <w:sz w:val="20"/>
                <w:szCs w:val="20"/>
              </w:rPr>
            </w:pPr>
            <w:r>
              <w:rPr>
                <w:b/>
                <w:bCs/>
                <w:sz w:val="20"/>
                <w:szCs w:val="20"/>
              </w:rPr>
              <w:t>Küchengeräte über moebelplus</w:t>
            </w:r>
          </w:p>
          <w:p w14:paraId="44B637DF" w14:textId="77777777" w:rsidR="00DE0965" w:rsidRDefault="004163D7">
            <w:pPr>
              <w:numPr>
                <w:ilvl w:val="0"/>
                <w:numId w:val="4"/>
              </w:numPr>
              <w:ind w:firstLine="0"/>
              <w:rPr>
                <w:sz w:val="20"/>
                <w:szCs w:val="20"/>
              </w:rPr>
            </w:pPr>
            <w:r>
              <w:rPr>
                <w:sz w:val="20"/>
                <w:szCs w:val="20"/>
              </w:rPr>
              <w:t>Einbaumikrowelle</w:t>
            </w:r>
          </w:p>
          <w:p w14:paraId="1D8A31FE" w14:textId="77777777" w:rsidR="00DE0965" w:rsidRDefault="004163D7">
            <w:pPr>
              <w:numPr>
                <w:ilvl w:val="0"/>
                <w:numId w:val="4"/>
              </w:numPr>
              <w:ind w:firstLine="0"/>
              <w:rPr>
                <w:sz w:val="20"/>
                <w:szCs w:val="20"/>
              </w:rPr>
            </w:pPr>
            <w:r>
              <w:rPr>
                <w:sz w:val="20"/>
                <w:szCs w:val="20"/>
              </w:rPr>
              <w:t>vollintegrierter Geschirrspüler</w:t>
            </w:r>
          </w:p>
          <w:p w14:paraId="0CC57174" w14:textId="3E7405CC" w:rsidR="008073ED" w:rsidRDefault="004163D7" w:rsidP="008073ED">
            <w:pPr>
              <w:numPr>
                <w:ilvl w:val="0"/>
                <w:numId w:val="4"/>
              </w:numPr>
              <w:ind w:firstLine="0"/>
              <w:rPr>
                <w:sz w:val="20"/>
                <w:szCs w:val="20"/>
              </w:rPr>
            </w:pPr>
            <w:r>
              <w:rPr>
                <w:sz w:val="20"/>
                <w:szCs w:val="20"/>
              </w:rPr>
              <w:t>Einbau-Kühl-Gefrier-Kombination</w:t>
            </w:r>
          </w:p>
          <w:p w14:paraId="561559CC" w14:textId="77777777" w:rsidR="008073ED" w:rsidRPr="008073ED" w:rsidRDefault="008073ED" w:rsidP="008073ED">
            <w:pPr>
              <w:ind w:left="720"/>
              <w:rPr>
                <w:sz w:val="20"/>
                <w:szCs w:val="20"/>
              </w:rPr>
            </w:pPr>
          </w:p>
          <w:p w14:paraId="5AFA423D" w14:textId="77777777" w:rsidR="008073ED" w:rsidRDefault="008073ED" w:rsidP="008073ED">
            <w:pPr>
              <w:spacing w:after="240"/>
              <w:rPr>
                <w:b/>
                <w:bCs/>
                <w:sz w:val="20"/>
                <w:szCs w:val="20"/>
              </w:rPr>
            </w:pPr>
            <w:r>
              <w:rPr>
                <w:b/>
                <w:bCs/>
                <w:sz w:val="20"/>
                <w:szCs w:val="20"/>
              </w:rPr>
              <w:t>weitere Lösungen via Häfele</w:t>
            </w:r>
          </w:p>
          <w:p w14:paraId="61BF0900" w14:textId="00593CE4" w:rsidR="008073ED" w:rsidRDefault="008073ED" w:rsidP="008073ED">
            <w:pPr>
              <w:numPr>
                <w:ilvl w:val="0"/>
                <w:numId w:val="4"/>
              </w:numPr>
              <w:ind w:firstLine="0"/>
              <w:rPr>
                <w:sz w:val="20"/>
                <w:szCs w:val="20"/>
              </w:rPr>
            </w:pPr>
            <w:r>
              <w:rPr>
                <w:sz w:val="20"/>
                <w:szCs w:val="20"/>
              </w:rPr>
              <w:t>Z</w:t>
            </w:r>
            <w:r w:rsidRPr="008073ED">
              <w:rPr>
                <w:sz w:val="20"/>
                <w:szCs w:val="20"/>
              </w:rPr>
              <w:t>argenführungssystem BLUM Legrabox + Zubehör</w:t>
            </w:r>
          </w:p>
          <w:p w14:paraId="624AD558" w14:textId="4DCC02DD" w:rsidR="00DE0965" w:rsidRPr="008073ED" w:rsidRDefault="00DE0965" w:rsidP="008073ED">
            <w:pPr>
              <w:pStyle w:val="Listenabsatz"/>
              <w:spacing w:after="240"/>
              <w:rPr>
                <w:sz w:val="20"/>
                <w:szCs w:val="20"/>
              </w:rPr>
            </w:pPr>
          </w:p>
        </w:tc>
        <w:tc>
          <w:tcPr>
            <w:tcW w:w="1578" w:type="pct"/>
            <w:tcBorders>
              <w:top w:val="nil"/>
              <w:left w:val="nil"/>
              <w:bottom w:val="nil"/>
              <w:right w:val="nil"/>
            </w:tcBorders>
            <w:tcMar>
              <w:top w:w="0" w:type="dxa"/>
              <w:left w:w="0" w:type="dxa"/>
              <w:bottom w:w="0" w:type="dxa"/>
              <w:right w:w="227" w:type="dxa"/>
            </w:tcMar>
          </w:tcPr>
          <w:p w14:paraId="6C15584B" w14:textId="77777777" w:rsidR="002825DF" w:rsidRDefault="002825DF">
            <w:pPr>
              <w:spacing w:after="240"/>
              <w:rPr>
                <w:b/>
                <w:bCs/>
                <w:sz w:val="20"/>
                <w:szCs w:val="20"/>
              </w:rPr>
            </w:pPr>
          </w:p>
          <w:p w14:paraId="6BE78268" w14:textId="4E2DE291" w:rsidR="00DE0965" w:rsidRDefault="004163D7" w:rsidP="002825DF">
            <w:pPr>
              <w:spacing w:after="240"/>
              <w:ind w:right="-450"/>
              <w:rPr>
                <w:sz w:val="20"/>
                <w:szCs w:val="20"/>
              </w:rPr>
            </w:pPr>
            <w:r>
              <w:rPr>
                <w:b/>
                <w:bCs/>
                <w:sz w:val="20"/>
                <w:szCs w:val="20"/>
              </w:rPr>
              <w:t>Ansprechpartner</w:t>
            </w:r>
            <w:r w:rsidR="002825DF">
              <w:rPr>
                <w:b/>
                <w:bCs/>
                <w:sz w:val="20"/>
                <w:szCs w:val="20"/>
              </w:rPr>
              <w:t>in</w:t>
            </w:r>
            <w:r>
              <w:rPr>
                <w:b/>
                <w:bCs/>
                <w:sz w:val="20"/>
                <w:szCs w:val="20"/>
              </w:rPr>
              <w:t xml:space="preserve"> für Journalisten:</w:t>
            </w:r>
            <w:r>
              <w:rPr>
                <w:b/>
                <w:bCs/>
                <w:sz w:val="20"/>
                <w:szCs w:val="20"/>
              </w:rPr>
              <w:br/>
            </w:r>
            <w:r>
              <w:rPr>
                <w:sz w:val="20"/>
                <w:szCs w:val="20"/>
              </w:rPr>
              <w:t>Susanne Dubbert</w:t>
            </w:r>
            <w:r>
              <w:rPr>
                <w:sz w:val="20"/>
                <w:szCs w:val="20"/>
              </w:rPr>
              <w:br/>
              <w:t>bering*kopal GbR, Büro für Kommunikation</w:t>
            </w:r>
            <w:r>
              <w:rPr>
                <w:sz w:val="20"/>
                <w:szCs w:val="20"/>
              </w:rPr>
              <w:br/>
              <w:t>T + 49 (0) 711 74 51 759-13</w:t>
            </w:r>
            <w:r>
              <w:rPr>
                <w:sz w:val="20"/>
                <w:szCs w:val="20"/>
              </w:rPr>
              <w:br/>
              <w:t>susanne.dubbert@bering-kopal.de</w:t>
            </w:r>
            <w:r>
              <w:rPr>
                <w:sz w:val="20"/>
                <w:szCs w:val="20"/>
              </w:rPr>
              <w:br/>
              <w:t>www.bering-kopal.de</w:t>
            </w:r>
          </w:p>
          <w:p w14:paraId="2B82D023" w14:textId="77777777" w:rsidR="00DE0965" w:rsidRDefault="004163D7">
            <w:pPr>
              <w:spacing w:after="240"/>
              <w:rPr>
                <w:sz w:val="20"/>
                <w:szCs w:val="20"/>
              </w:rPr>
            </w:pPr>
            <w:r>
              <w:rPr>
                <w:b/>
                <w:bCs/>
                <w:sz w:val="20"/>
                <w:szCs w:val="20"/>
              </w:rPr>
              <w:t>Ansprechpartnerin im Unternehmen:</w:t>
            </w:r>
            <w:r>
              <w:rPr>
                <w:b/>
                <w:bCs/>
                <w:sz w:val="20"/>
                <w:szCs w:val="20"/>
              </w:rPr>
              <w:br/>
            </w:r>
            <w:r>
              <w:rPr>
                <w:sz w:val="20"/>
                <w:szCs w:val="20"/>
              </w:rPr>
              <w:t>Sarah Grünler</w:t>
            </w:r>
            <w:r>
              <w:rPr>
                <w:sz w:val="20"/>
                <w:szCs w:val="20"/>
              </w:rPr>
              <w:br/>
              <w:t>Senior Corporate Communications Manager</w:t>
            </w:r>
            <w:r>
              <w:rPr>
                <w:sz w:val="20"/>
                <w:szCs w:val="20"/>
              </w:rPr>
              <w:br/>
              <w:t>Häfele SE &amp; Co KG</w:t>
            </w:r>
            <w:r>
              <w:rPr>
                <w:sz w:val="20"/>
                <w:szCs w:val="20"/>
              </w:rPr>
              <w:br/>
              <w:t>Tel.: +49 (0)7452 95-510</w:t>
            </w:r>
            <w:r>
              <w:rPr>
                <w:sz w:val="20"/>
                <w:szCs w:val="20"/>
              </w:rPr>
              <w:br/>
              <w:t>Mobil: +49 160 97871786</w:t>
            </w:r>
            <w:r>
              <w:rPr>
                <w:sz w:val="20"/>
                <w:szCs w:val="20"/>
              </w:rPr>
              <w:br/>
              <w:t>sarah.gruenler@haefele.de</w:t>
            </w:r>
          </w:p>
          <w:p w14:paraId="54778809" w14:textId="77777777" w:rsidR="00DE0965" w:rsidRDefault="004163D7">
            <w:pPr>
              <w:spacing w:after="240"/>
              <w:rPr>
                <w:sz w:val="20"/>
                <w:szCs w:val="20"/>
              </w:rPr>
            </w:pPr>
            <w:r>
              <w:rPr>
                <w:sz w:val="20"/>
                <w:szCs w:val="20"/>
              </w:rPr>
              <w:t> </w:t>
            </w:r>
          </w:p>
          <w:p w14:paraId="08AA9964" w14:textId="77777777" w:rsidR="00DE0965" w:rsidRDefault="004163D7">
            <w:pPr>
              <w:rPr>
                <w:sz w:val="20"/>
                <w:szCs w:val="20"/>
              </w:rPr>
            </w:pPr>
            <w:r>
              <w:rPr>
                <w:sz w:val="20"/>
                <w:szCs w:val="20"/>
              </w:rPr>
              <w:t> </w:t>
            </w:r>
          </w:p>
        </w:tc>
      </w:tr>
      <w:tr w:rsidR="00DE0965" w14:paraId="5111DB25" w14:textId="77777777" w:rsidTr="002825DF">
        <w:trPr>
          <w:gridAfter w:val="1"/>
          <w:wAfter w:w="1578" w:type="pct"/>
        </w:trPr>
        <w:tc>
          <w:tcPr>
            <w:tcW w:w="1711" w:type="pct"/>
            <w:tcBorders>
              <w:top w:val="nil"/>
              <w:left w:val="nil"/>
              <w:bottom w:val="nil"/>
              <w:right w:val="nil"/>
            </w:tcBorders>
            <w:tcMar>
              <w:top w:w="0" w:type="dxa"/>
              <w:left w:w="0" w:type="dxa"/>
              <w:bottom w:w="0" w:type="dxa"/>
              <w:right w:w="227" w:type="dxa"/>
            </w:tcMar>
          </w:tcPr>
          <w:p w14:paraId="75DC7E5F" w14:textId="77777777" w:rsidR="00DE0965" w:rsidRDefault="00DE0965">
            <w:pPr>
              <w:rPr>
                <w:sz w:val="20"/>
                <w:szCs w:val="20"/>
              </w:rPr>
            </w:pPr>
          </w:p>
        </w:tc>
        <w:tc>
          <w:tcPr>
            <w:tcW w:w="1711" w:type="pct"/>
            <w:tcBorders>
              <w:top w:val="nil"/>
              <w:left w:val="nil"/>
              <w:bottom w:val="nil"/>
              <w:right w:val="nil"/>
            </w:tcBorders>
            <w:tcMar>
              <w:top w:w="0" w:type="dxa"/>
              <w:left w:w="0" w:type="dxa"/>
              <w:bottom w:w="0" w:type="dxa"/>
              <w:right w:w="227" w:type="dxa"/>
            </w:tcMar>
          </w:tcPr>
          <w:p w14:paraId="26E8EE7C" w14:textId="77777777" w:rsidR="00DE0965" w:rsidRDefault="00DE0965">
            <w:pPr>
              <w:rPr>
                <w:sz w:val="20"/>
                <w:szCs w:val="20"/>
              </w:rPr>
            </w:pPr>
          </w:p>
        </w:tc>
      </w:tr>
    </w:tbl>
    <w:p w14:paraId="3510FAF3" w14:textId="77777777" w:rsidR="00DE0965" w:rsidRDefault="004163D7">
      <w:r>
        <w:br w:type="page"/>
      </w:r>
    </w:p>
    <w:p w14:paraId="67781451" w14:textId="77777777" w:rsidR="00DE0965" w:rsidRDefault="004163D7">
      <w:pPr>
        <w:spacing w:line="240" w:lineRule="auto"/>
        <w:rPr>
          <w:sz w:val="17"/>
          <w:szCs w:val="17"/>
        </w:rPr>
      </w:pPr>
      <w:r>
        <w:rPr>
          <w:b/>
          <w:bCs/>
          <w:sz w:val="17"/>
          <w:szCs w:val="17"/>
        </w:rPr>
        <w:lastRenderedPageBreak/>
        <w:t>1</w:t>
      </w:r>
      <w:r>
        <w:rPr>
          <w:sz w:val="17"/>
          <w:szCs w:val="17"/>
        </w:rPr>
        <w:t xml:space="preserve"> Die neue Mannschaftskabine des BBC Bayreuth verbindet Stauraum, Beleuchtung und Innenausbau zu einem durchgängigen Gesamtkonzept. Zum Einsatz kamen zahlreiche Lösungen von Häfele – von der Lichttechnik bis zur Ausstattung der Spinde. Foto: Sebastian Kosowski für Schreinerei Stahlmann</w:t>
      </w:r>
      <w:r>
        <w:rPr>
          <w:sz w:val="17"/>
          <w:szCs w:val="17"/>
        </w:rPr>
        <w:br/>
      </w:r>
    </w:p>
    <w:p w14:paraId="04B051AE" w14:textId="77777777" w:rsidR="00DE0965" w:rsidRDefault="004163D7">
      <w:pPr>
        <w:spacing w:line="240" w:lineRule="auto"/>
        <w:rPr>
          <w:sz w:val="17"/>
          <w:szCs w:val="17"/>
        </w:rPr>
      </w:pPr>
      <w:r>
        <w:rPr>
          <w:b/>
          <w:bCs/>
          <w:sz w:val="17"/>
          <w:szCs w:val="17"/>
        </w:rPr>
        <w:t>2</w:t>
      </w:r>
      <w:r>
        <w:rPr>
          <w:sz w:val="17"/>
          <w:szCs w:val="17"/>
        </w:rPr>
        <w:t xml:space="preserve"> Jeder Spieler verfügt über einen individuell gestalteten Platz mit eigenem Spind, Sitzbereich und integrierter Beleuchtung. Häfele Lighting Lösungen setzen Trikots und Stauraum in Szene. Im gesamten Raum kommen matte, hochwertige Schichtstoffe als Oberflächen zum Einsatz. Foto: Sebastian Kosowski für Schreinerei Stahlmann</w:t>
      </w:r>
      <w:r>
        <w:rPr>
          <w:sz w:val="17"/>
          <w:szCs w:val="17"/>
        </w:rPr>
        <w:br/>
      </w:r>
    </w:p>
    <w:p w14:paraId="7B3A230D" w14:textId="77777777" w:rsidR="00DE0965" w:rsidRDefault="004163D7">
      <w:pPr>
        <w:spacing w:line="240" w:lineRule="auto"/>
        <w:rPr>
          <w:sz w:val="17"/>
          <w:szCs w:val="17"/>
        </w:rPr>
      </w:pPr>
      <w:r>
        <w:rPr>
          <w:b/>
          <w:bCs/>
          <w:sz w:val="17"/>
          <w:szCs w:val="17"/>
        </w:rPr>
        <w:t>3</w:t>
      </w:r>
      <w:r>
        <w:rPr>
          <w:sz w:val="17"/>
          <w:szCs w:val="17"/>
        </w:rPr>
        <w:t xml:space="preserve"> Mit indirekten Lichtlinien von Häfele Lighting erhält der Sanitärbereich eine hochwertige Atmosphäre. Die grüne Akzentbeleuchtung greift zugleich die Vereinsfarben des BBC Bayreuth auf. Foto: Sebastian Kosowski für Schreinerei Stahlmann</w:t>
      </w:r>
      <w:r>
        <w:rPr>
          <w:sz w:val="17"/>
          <w:szCs w:val="17"/>
        </w:rPr>
        <w:br/>
      </w:r>
    </w:p>
    <w:p w14:paraId="005F9553" w14:textId="77777777" w:rsidR="00DE0965" w:rsidRDefault="004163D7">
      <w:pPr>
        <w:spacing w:line="240" w:lineRule="auto"/>
        <w:rPr>
          <w:sz w:val="17"/>
          <w:szCs w:val="17"/>
        </w:rPr>
      </w:pPr>
      <w:r>
        <w:rPr>
          <w:b/>
          <w:bCs/>
          <w:sz w:val="17"/>
          <w:szCs w:val="17"/>
        </w:rPr>
        <w:t>4</w:t>
      </w:r>
      <w:r>
        <w:rPr>
          <w:sz w:val="17"/>
          <w:szCs w:val="17"/>
        </w:rPr>
        <w:t xml:space="preserve"> RGB-Lichtlösungen von Häfele Lighting setzen die Vereinsidentität auch in den Waschräumen wirkungsvoll in Szene. Den genauen Farbcode hat Helmuth Mai numerisch in die Häfele Connect Mesh App eingegeben. Eine interessante Möglichkeit, um die Corporate Identity von Organisationen oder Unternehmen auch mit der passenden Beleuchtung zu unterstützen. Foto: Sebastian Kosowski für Schreinerei Stahlmann</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DE0965" w14:paraId="3B4CF0E2" w14:textId="77777777">
        <w:tc>
          <w:tcPr>
            <w:tcW w:w="2444" w:type="pct"/>
            <w:tcBorders>
              <w:top w:val="nil"/>
              <w:left w:val="nil"/>
              <w:bottom w:val="nil"/>
              <w:right w:val="nil"/>
            </w:tcBorders>
            <w:tcMar>
              <w:top w:w="0" w:type="dxa"/>
              <w:left w:w="0" w:type="dxa"/>
              <w:bottom w:w="0" w:type="dxa"/>
              <w:right w:w="0" w:type="dxa"/>
            </w:tcMar>
          </w:tcPr>
          <w:p w14:paraId="6DF03E55" w14:textId="77777777" w:rsidR="00DE0965" w:rsidRDefault="004163D7">
            <w:pPr>
              <w:keepNext/>
              <w:keepLines/>
              <w:spacing w:line="240" w:lineRule="auto"/>
              <w:rPr>
                <w:sz w:val="14"/>
                <w:szCs w:val="14"/>
              </w:rPr>
            </w:pPr>
            <w:r>
              <w:rPr>
                <w:sz w:val="14"/>
                <w:szCs w:val="14"/>
              </w:rPr>
              <w:t>1.</w:t>
            </w:r>
          </w:p>
        </w:tc>
        <w:tc>
          <w:tcPr>
            <w:tcW w:w="112" w:type="pct"/>
            <w:tcBorders>
              <w:top w:val="nil"/>
              <w:left w:val="nil"/>
              <w:bottom w:val="nil"/>
              <w:right w:val="nil"/>
            </w:tcBorders>
            <w:tcMar>
              <w:top w:w="0" w:type="dxa"/>
              <w:left w:w="0" w:type="dxa"/>
              <w:bottom w:w="0" w:type="dxa"/>
              <w:right w:w="0" w:type="dxa"/>
            </w:tcMar>
          </w:tcPr>
          <w:p w14:paraId="34943107" w14:textId="77777777" w:rsidR="00DE0965" w:rsidRDefault="00DE0965">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34299BDB" w14:textId="77777777" w:rsidR="00DE0965" w:rsidRDefault="004163D7">
            <w:pPr>
              <w:keepNext/>
              <w:keepLines/>
              <w:spacing w:line="240" w:lineRule="auto"/>
              <w:rPr>
                <w:sz w:val="14"/>
                <w:szCs w:val="14"/>
              </w:rPr>
            </w:pPr>
            <w:r>
              <w:rPr>
                <w:sz w:val="14"/>
                <w:szCs w:val="14"/>
              </w:rPr>
              <w:t>2.</w:t>
            </w:r>
          </w:p>
        </w:tc>
      </w:tr>
      <w:tr w:rsidR="00DE0965" w14:paraId="48E0EE1C"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11C1DD27" w14:textId="77777777" w:rsidR="00DE0965" w:rsidRDefault="004163D7">
            <w:pPr>
              <w:keepNext/>
              <w:keepLines/>
              <w:spacing w:line="240" w:lineRule="auto"/>
              <w:rPr>
                <w:sz w:val="14"/>
                <w:szCs w:val="14"/>
              </w:rPr>
            </w:pPr>
            <w:r>
              <w:rPr>
                <w:noProof/>
                <w:sz w:val="14"/>
                <w:szCs w:val="14"/>
              </w:rPr>
              <w:drawing>
                <wp:inline distT="0" distB="0" distL="0" distR="0" wp14:anchorId="7D39E8FB" wp14:editId="31ABEC6E">
                  <wp:extent cx="3023235" cy="201422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dpi="0">
                          <a:blip r:embed="rId8"/>
                          <a:srcRect/>
                          <a:stretch>
                            <a:fillRect/>
                          </a:stretch>
                        </pic:blipFill>
                        <pic:spPr>
                          <a:xfrm>
                            <a:off x="0" y="0"/>
                            <a:ext cx="3023235"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554DECD8" w14:textId="77777777" w:rsidR="00DE0965" w:rsidRDefault="00DE0965">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298405D8" w14:textId="77777777" w:rsidR="00DE0965" w:rsidRDefault="004163D7">
            <w:pPr>
              <w:keepNext/>
              <w:keepLines/>
              <w:spacing w:line="240" w:lineRule="auto"/>
              <w:rPr>
                <w:sz w:val="14"/>
                <w:szCs w:val="14"/>
              </w:rPr>
            </w:pPr>
            <w:r>
              <w:rPr>
                <w:noProof/>
                <w:sz w:val="14"/>
                <w:szCs w:val="14"/>
              </w:rPr>
              <w:drawing>
                <wp:inline distT="0" distB="0" distL="0" distR="0" wp14:anchorId="2B9A0C8E" wp14:editId="4FE08032">
                  <wp:extent cx="3020060" cy="201422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dpi="0">
                          <a:blip r:embed="rId9"/>
                          <a:srcRect/>
                          <a:stretch>
                            <a:fillRect/>
                          </a:stretch>
                        </pic:blipFill>
                        <pic:spPr>
                          <a:xfrm>
                            <a:off x="0" y="0"/>
                            <a:ext cx="3020060" cy="2014220"/>
                          </a:xfrm>
                          <a:prstGeom prst="rect">
                            <a:avLst/>
                          </a:prstGeom>
                        </pic:spPr>
                      </pic:pic>
                    </a:graphicData>
                  </a:graphic>
                </wp:inline>
              </w:drawing>
            </w:r>
          </w:p>
        </w:tc>
      </w:tr>
      <w:tr w:rsidR="00DE0965" w14:paraId="7E200DFD" w14:textId="77777777">
        <w:tc>
          <w:tcPr>
            <w:tcW w:w="2444" w:type="pct"/>
            <w:tcBorders>
              <w:top w:val="nil"/>
              <w:left w:val="nil"/>
              <w:bottom w:val="nil"/>
              <w:right w:val="nil"/>
            </w:tcBorders>
            <w:tcMar>
              <w:top w:w="0" w:type="dxa"/>
              <w:left w:w="0" w:type="dxa"/>
              <w:bottom w:w="0" w:type="dxa"/>
              <w:right w:w="0" w:type="dxa"/>
            </w:tcMar>
          </w:tcPr>
          <w:p w14:paraId="781B7C50" w14:textId="77777777" w:rsidR="00DE0965" w:rsidRDefault="00DE0965">
            <w:pPr>
              <w:keepNext/>
              <w:keepLines/>
              <w:spacing w:line="240" w:lineRule="auto"/>
              <w:rPr>
                <w:sz w:val="14"/>
                <w:szCs w:val="14"/>
              </w:rPr>
            </w:pPr>
          </w:p>
        </w:tc>
        <w:tc>
          <w:tcPr>
            <w:tcW w:w="112" w:type="pct"/>
            <w:tcBorders>
              <w:top w:val="nil"/>
              <w:left w:val="nil"/>
              <w:bottom w:val="nil"/>
              <w:right w:val="nil"/>
            </w:tcBorders>
            <w:tcMar>
              <w:top w:w="0" w:type="dxa"/>
              <w:left w:w="0" w:type="dxa"/>
              <w:bottom w:w="0" w:type="dxa"/>
              <w:right w:w="0" w:type="dxa"/>
            </w:tcMar>
          </w:tcPr>
          <w:p w14:paraId="517D0897" w14:textId="77777777" w:rsidR="00DE0965" w:rsidRDefault="00DE0965">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44BF68B0" w14:textId="77777777" w:rsidR="00DE0965" w:rsidRDefault="00DE0965">
            <w:pPr>
              <w:keepNext/>
              <w:keepLines/>
              <w:spacing w:line="240" w:lineRule="auto"/>
              <w:rPr>
                <w:sz w:val="14"/>
                <w:szCs w:val="14"/>
              </w:rPr>
            </w:pPr>
          </w:p>
        </w:tc>
      </w:tr>
      <w:tr w:rsidR="00DE0965" w14:paraId="643C5E33" w14:textId="77777777">
        <w:tc>
          <w:tcPr>
            <w:tcW w:w="2444" w:type="pct"/>
            <w:tcBorders>
              <w:top w:val="nil"/>
              <w:left w:val="nil"/>
              <w:bottom w:val="nil"/>
              <w:right w:val="nil"/>
            </w:tcBorders>
            <w:tcMar>
              <w:top w:w="0" w:type="dxa"/>
              <w:left w:w="0" w:type="dxa"/>
              <w:bottom w:w="0" w:type="dxa"/>
              <w:right w:w="0" w:type="dxa"/>
            </w:tcMar>
          </w:tcPr>
          <w:p w14:paraId="2EC58BE3" w14:textId="77777777" w:rsidR="00DE0965" w:rsidRDefault="004163D7">
            <w:pPr>
              <w:keepNext/>
              <w:keepLines/>
              <w:spacing w:line="240" w:lineRule="auto"/>
              <w:rPr>
                <w:sz w:val="14"/>
                <w:szCs w:val="14"/>
              </w:rPr>
            </w:pPr>
            <w:r>
              <w:rPr>
                <w:sz w:val="14"/>
                <w:szCs w:val="14"/>
              </w:rPr>
              <w:t>3.</w:t>
            </w:r>
          </w:p>
        </w:tc>
        <w:tc>
          <w:tcPr>
            <w:tcW w:w="112" w:type="pct"/>
            <w:tcBorders>
              <w:top w:val="nil"/>
              <w:left w:val="nil"/>
              <w:bottom w:val="nil"/>
              <w:right w:val="nil"/>
            </w:tcBorders>
            <w:tcMar>
              <w:top w:w="0" w:type="dxa"/>
              <w:left w:w="0" w:type="dxa"/>
              <w:bottom w:w="0" w:type="dxa"/>
              <w:right w:w="0" w:type="dxa"/>
            </w:tcMar>
          </w:tcPr>
          <w:p w14:paraId="6B94495F" w14:textId="77777777" w:rsidR="00DE0965" w:rsidRDefault="00DE0965">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32CFAD69" w14:textId="77777777" w:rsidR="00DE0965" w:rsidRDefault="004163D7">
            <w:pPr>
              <w:keepNext/>
              <w:keepLines/>
              <w:spacing w:line="240" w:lineRule="auto"/>
              <w:rPr>
                <w:sz w:val="14"/>
                <w:szCs w:val="14"/>
              </w:rPr>
            </w:pPr>
            <w:r>
              <w:rPr>
                <w:sz w:val="14"/>
                <w:szCs w:val="14"/>
              </w:rPr>
              <w:t>4.</w:t>
            </w:r>
          </w:p>
        </w:tc>
      </w:tr>
      <w:tr w:rsidR="00DE0965" w14:paraId="7718BBA5"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7AF6A82F" w14:textId="77777777" w:rsidR="00DE0965" w:rsidRDefault="004163D7">
            <w:pPr>
              <w:keepNext/>
              <w:keepLines/>
              <w:spacing w:line="240" w:lineRule="auto"/>
              <w:rPr>
                <w:sz w:val="14"/>
                <w:szCs w:val="14"/>
              </w:rPr>
            </w:pPr>
            <w:r>
              <w:rPr>
                <w:noProof/>
                <w:sz w:val="14"/>
                <w:szCs w:val="14"/>
              </w:rPr>
              <w:drawing>
                <wp:inline distT="0" distB="0" distL="0" distR="0" wp14:anchorId="72A2EB7B" wp14:editId="6F30CE68">
                  <wp:extent cx="1343660" cy="201422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dpi="0">
                          <a:blip r:embed="rId10"/>
                          <a:srcRect/>
                          <a:stretch>
                            <a:fillRect/>
                          </a:stretch>
                        </pic:blipFill>
                        <pic:spPr>
                          <a:xfrm>
                            <a:off x="0" y="0"/>
                            <a:ext cx="134366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639F1539" w14:textId="77777777" w:rsidR="00DE0965" w:rsidRDefault="00DE0965">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68FE192D" w14:textId="77777777" w:rsidR="00DE0965" w:rsidRDefault="004163D7">
            <w:pPr>
              <w:keepNext/>
              <w:keepLines/>
              <w:spacing w:line="240" w:lineRule="auto"/>
              <w:rPr>
                <w:sz w:val="14"/>
                <w:szCs w:val="14"/>
              </w:rPr>
            </w:pPr>
            <w:r>
              <w:rPr>
                <w:noProof/>
                <w:sz w:val="14"/>
                <w:szCs w:val="14"/>
              </w:rPr>
              <w:drawing>
                <wp:inline distT="0" distB="0" distL="0" distR="0" wp14:anchorId="3E6B6E62" wp14:editId="3A767028">
                  <wp:extent cx="1343660" cy="20142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dpi="0">
                          <a:blip r:embed="rId11"/>
                          <a:srcRect/>
                          <a:stretch>
                            <a:fillRect/>
                          </a:stretch>
                        </pic:blipFill>
                        <pic:spPr>
                          <a:xfrm>
                            <a:off x="0" y="0"/>
                            <a:ext cx="1343660" cy="2014220"/>
                          </a:xfrm>
                          <a:prstGeom prst="rect">
                            <a:avLst/>
                          </a:prstGeom>
                        </pic:spPr>
                      </pic:pic>
                    </a:graphicData>
                  </a:graphic>
                </wp:inline>
              </w:drawing>
            </w:r>
          </w:p>
        </w:tc>
      </w:tr>
    </w:tbl>
    <w:p w14:paraId="0AE3A327" w14:textId="77777777" w:rsidR="00DE0965" w:rsidRDefault="004163D7">
      <w:pPr>
        <w:spacing w:line="240" w:lineRule="auto"/>
      </w:pPr>
      <w:r>
        <w:br w:type="page"/>
      </w:r>
    </w:p>
    <w:p w14:paraId="59F6CC88" w14:textId="77777777" w:rsidR="00DE0965" w:rsidRDefault="004163D7">
      <w:pPr>
        <w:spacing w:line="240" w:lineRule="auto"/>
        <w:rPr>
          <w:sz w:val="17"/>
          <w:szCs w:val="17"/>
        </w:rPr>
      </w:pPr>
      <w:r>
        <w:rPr>
          <w:b/>
          <w:bCs/>
          <w:sz w:val="17"/>
          <w:szCs w:val="17"/>
        </w:rPr>
        <w:lastRenderedPageBreak/>
        <w:t>5</w:t>
      </w:r>
      <w:r>
        <w:rPr>
          <w:sz w:val="17"/>
          <w:szCs w:val="17"/>
        </w:rPr>
        <w:t xml:space="preserve"> Ein großformatiges Lichtfeld mit Vereinslogo setzt an der Decke der Kabine einen markanten Akzent. Die Sockelbeleuchtung des Mittelblocks ist auf die übrige Raumbeleuchtung abgestimmt. Foto: Sebastian Kosowski für Schreinerei Stahlmann</w:t>
      </w:r>
      <w:r>
        <w:rPr>
          <w:sz w:val="17"/>
          <w:szCs w:val="17"/>
        </w:rPr>
        <w:br/>
      </w:r>
    </w:p>
    <w:p w14:paraId="6C11748A" w14:textId="77777777" w:rsidR="00DE0965" w:rsidRDefault="004163D7">
      <w:pPr>
        <w:spacing w:line="240" w:lineRule="auto"/>
        <w:rPr>
          <w:sz w:val="17"/>
          <w:szCs w:val="17"/>
        </w:rPr>
      </w:pPr>
      <w:r>
        <w:rPr>
          <w:b/>
          <w:bCs/>
          <w:sz w:val="17"/>
          <w:szCs w:val="17"/>
        </w:rPr>
        <w:t>6</w:t>
      </w:r>
      <w:r>
        <w:rPr>
          <w:sz w:val="17"/>
          <w:szCs w:val="17"/>
        </w:rPr>
        <w:t xml:space="preserve"> Elektronische Möbelschlösser von Häfele ermöglichen die sichere Aufbewahrung persönlicher Gegenstände direkt am Spielerplatz. Foto: Sebastian Kosowski für Schreinerei Stahlmann</w:t>
      </w:r>
      <w:r>
        <w:rPr>
          <w:sz w:val="17"/>
          <w:szCs w:val="17"/>
        </w:rPr>
        <w:br/>
      </w:r>
    </w:p>
    <w:p w14:paraId="74B0CAFD" w14:textId="77777777" w:rsidR="00DE0965" w:rsidRDefault="004163D7">
      <w:pPr>
        <w:spacing w:line="240" w:lineRule="auto"/>
        <w:rPr>
          <w:sz w:val="17"/>
          <w:szCs w:val="17"/>
        </w:rPr>
      </w:pPr>
      <w:r>
        <w:rPr>
          <w:b/>
          <w:bCs/>
          <w:sz w:val="17"/>
          <w:szCs w:val="17"/>
        </w:rPr>
        <w:t>7</w:t>
      </w:r>
      <w:r>
        <w:rPr>
          <w:sz w:val="17"/>
          <w:szCs w:val="17"/>
        </w:rPr>
        <w:t xml:space="preserve"> Individuell beschriftete Spielerplätze, integrierte LED-Beleuchtung und elektronische Wertfächer schaffen eine professionelle Umgebung für den Trainings- und Spielbetrieb. Foto: Sebastian Kosowski für Schreinerei Stahlmann</w:t>
      </w:r>
      <w:r>
        <w:rPr>
          <w:sz w:val="17"/>
          <w:szCs w:val="17"/>
        </w:rPr>
        <w:br/>
      </w:r>
    </w:p>
    <w:p w14:paraId="3D684BAA" w14:textId="77777777" w:rsidR="00DE0965" w:rsidRDefault="004163D7">
      <w:pPr>
        <w:spacing w:line="240" w:lineRule="auto"/>
        <w:rPr>
          <w:sz w:val="17"/>
          <w:szCs w:val="17"/>
        </w:rPr>
      </w:pPr>
      <w:r>
        <w:rPr>
          <w:b/>
          <w:bCs/>
          <w:sz w:val="17"/>
          <w:szCs w:val="17"/>
        </w:rPr>
        <w:t>8</w:t>
      </w:r>
      <w:r>
        <w:rPr>
          <w:sz w:val="17"/>
          <w:szCs w:val="17"/>
        </w:rPr>
        <w:t xml:space="preserve"> Auch im Physioraum und Ruhebereich sorgt das Lichtkonzept von Häfele Lighting im Zusammenspiel mit wirksamen und warm wirkenden Akustiklösung aus Holz für eine angenehme Atmosphäre und unterstützt Regenerationsphasen. Foto: Sebastian Kosowski für Schreinerei Stahlmann</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DE0965" w14:paraId="5EC1615C" w14:textId="77777777">
        <w:tc>
          <w:tcPr>
            <w:tcW w:w="2444" w:type="pct"/>
            <w:tcBorders>
              <w:top w:val="nil"/>
              <w:left w:val="nil"/>
              <w:bottom w:val="nil"/>
              <w:right w:val="nil"/>
            </w:tcBorders>
            <w:tcMar>
              <w:top w:w="0" w:type="dxa"/>
              <w:left w:w="0" w:type="dxa"/>
              <w:bottom w:w="0" w:type="dxa"/>
              <w:right w:w="0" w:type="dxa"/>
            </w:tcMar>
          </w:tcPr>
          <w:p w14:paraId="652B870E" w14:textId="77777777" w:rsidR="00DE0965" w:rsidRDefault="004163D7">
            <w:pPr>
              <w:keepNext/>
              <w:keepLines/>
              <w:spacing w:line="240" w:lineRule="auto"/>
              <w:rPr>
                <w:sz w:val="14"/>
                <w:szCs w:val="14"/>
              </w:rPr>
            </w:pPr>
            <w:r>
              <w:rPr>
                <w:sz w:val="14"/>
                <w:szCs w:val="14"/>
              </w:rPr>
              <w:t>5.</w:t>
            </w:r>
          </w:p>
        </w:tc>
        <w:tc>
          <w:tcPr>
            <w:tcW w:w="112" w:type="pct"/>
            <w:tcBorders>
              <w:top w:val="nil"/>
              <w:left w:val="nil"/>
              <w:bottom w:val="nil"/>
              <w:right w:val="nil"/>
            </w:tcBorders>
            <w:tcMar>
              <w:top w:w="0" w:type="dxa"/>
              <w:left w:w="0" w:type="dxa"/>
              <w:bottom w:w="0" w:type="dxa"/>
              <w:right w:w="0" w:type="dxa"/>
            </w:tcMar>
          </w:tcPr>
          <w:p w14:paraId="51E91D2B" w14:textId="77777777" w:rsidR="00DE0965" w:rsidRDefault="00DE0965">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7710E8D6" w14:textId="77777777" w:rsidR="00DE0965" w:rsidRDefault="004163D7">
            <w:pPr>
              <w:keepNext/>
              <w:keepLines/>
              <w:spacing w:line="240" w:lineRule="auto"/>
              <w:rPr>
                <w:sz w:val="14"/>
                <w:szCs w:val="14"/>
              </w:rPr>
            </w:pPr>
            <w:r>
              <w:rPr>
                <w:sz w:val="14"/>
                <w:szCs w:val="14"/>
              </w:rPr>
              <w:t>6.</w:t>
            </w:r>
          </w:p>
        </w:tc>
      </w:tr>
      <w:tr w:rsidR="00DE0965" w14:paraId="456B0547"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3BC0FDEF" w14:textId="77777777" w:rsidR="00DE0965" w:rsidRDefault="004163D7">
            <w:pPr>
              <w:keepNext/>
              <w:keepLines/>
              <w:spacing w:line="240" w:lineRule="auto"/>
              <w:rPr>
                <w:sz w:val="14"/>
                <w:szCs w:val="14"/>
              </w:rPr>
            </w:pPr>
            <w:r>
              <w:rPr>
                <w:noProof/>
                <w:sz w:val="14"/>
                <w:szCs w:val="14"/>
              </w:rPr>
              <w:drawing>
                <wp:inline distT="0" distB="0" distL="0" distR="0" wp14:anchorId="6CB97E1A" wp14:editId="2327A7E7">
                  <wp:extent cx="1343660" cy="20142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dpi="0">
                          <a:blip r:embed="rId12"/>
                          <a:srcRect/>
                          <a:stretch>
                            <a:fillRect/>
                          </a:stretch>
                        </pic:blipFill>
                        <pic:spPr>
                          <a:xfrm>
                            <a:off x="0" y="0"/>
                            <a:ext cx="134366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75DA88CC" w14:textId="77777777" w:rsidR="00DE0965" w:rsidRDefault="00DE0965">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5BBEE52E" w14:textId="77777777" w:rsidR="00DE0965" w:rsidRDefault="004163D7">
            <w:pPr>
              <w:keepNext/>
              <w:keepLines/>
              <w:spacing w:line="240" w:lineRule="auto"/>
              <w:rPr>
                <w:sz w:val="14"/>
                <w:szCs w:val="14"/>
              </w:rPr>
            </w:pPr>
            <w:r>
              <w:rPr>
                <w:noProof/>
                <w:sz w:val="14"/>
                <w:szCs w:val="14"/>
              </w:rPr>
              <w:drawing>
                <wp:inline distT="0" distB="0" distL="0" distR="0" wp14:anchorId="43611785" wp14:editId="7ED0118B">
                  <wp:extent cx="3020060" cy="201422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dpi="0">
                          <a:blip r:embed="rId13"/>
                          <a:srcRect/>
                          <a:stretch>
                            <a:fillRect/>
                          </a:stretch>
                        </pic:blipFill>
                        <pic:spPr>
                          <a:xfrm>
                            <a:off x="0" y="0"/>
                            <a:ext cx="3020060" cy="2014220"/>
                          </a:xfrm>
                          <a:prstGeom prst="rect">
                            <a:avLst/>
                          </a:prstGeom>
                        </pic:spPr>
                      </pic:pic>
                    </a:graphicData>
                  </a:graphic>
                </wp:inline>
              </w:drawing>
            </w:r>
          </w:p>
        </w:tc>
      </w:tr>
      <w:tr w:rsidR="00DE0965" w14:paraId="455794D2" w14:textId="77777777">
        <w:tc>
          <w:tcPr>
            <w:tcW w:w="2444" w:type="pct"/>
            <w:tcBorders>
              <w:top w:val="nil"/>
              <w:left w:val="nil"/>
              <w:bottom w:val="nil"/>
              <w:right w:val="nil"/>
            </w:tcBorders>
            <w:tcMar>
              <w:top w:w="0" w:type="dxa"/>
              <w:left w:w="0" w:type="dxa"/>
              <w:bottom w:w="0" w:type="dxa"/>
              <w:right w:w="0" w:type="dxa"/>
            </w:tcMar>
          </w:tcPr>
          <w:p w14:paraId="35B66064" w14:textId="77777777" w:rsidR="00DE0965" w:rsidRDefault="00DE0965">
            <w:pPr>
              <w:keepNext/>
              <w:keepLines/>
              <w:spacing w:line="240" w:lineRule="auto"/>
              <w:rPr>
                <w:sz w:val="14"/>
                <w:szCs w:val="14"/>
              </w:rPr>
            </w:pPr>
          </w:p>
        </w:tc>
        <w:tc>
          <w:tcPr>
            <w:tcW w:w="112" w:type="pct"/>
            <w:tcBorders>
              <w:top w:val="nil"/>
              <w:left w:val="nil"/>
              <w:bottom w:val="nil"/>
              <w:right w:val="nil"/>
            </w:tcBorders>
            <w:tcMar>
              <w:top w:w="0" w:type="dxa"/>
              <w:left w:w="0" w:type="dxa"/>
              <w:bottom w:w="0" w:type="dxa"/>
              <w:right w:w="0" w:type="dxa"/>
            </w:tcMar>
          </w:tcPr>
          <w:p w14:paraId="309CAFE0" w14:textId="77777777" w:rsidR="00DE0965" w:rsidRDefault="00DE0965">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0613EC29" w14:textId="77777777" w:rsidR="00DE0965" w:rsidRDefault="00DE0965">
            <w:pPr>
              <w:keepNext/>
              <w:keepLines/>
              <w:spacing w:line="240" w:lineRule="auto"/>
              <w:rPr>
                <w:sz w:val="14"/>
                <w:szCs w:val="14"/>
              </w:rPr>
            </w:pPr>
          </w:p>
        </w:tc>
      </w:tr>
      <w:tr w:rsidR="00DE0965" w14:paraId="44ABB578" w14:textId="77777777">
        <w:tc>
          <w:tcPr>
            <w:tcW w:w="2444" w:type="pct"/>
            <w:tcBorders>
              <w:top w:val="nil"/>
              <w:left w:val="nil"/>
              <w:bottom w:val="nil"/>
              <w:right w:val="nil"/>
            </w:tcBorders>
            <w:tcMar>
              <w:top w:w="0" w:type="dxa"/>
              <w:left w:w="0" w:type="dxa"/>
              <w:bottom w:w="0" w:type="dxa"/>
              <w:right w:w="0" w:type="dxa"/>
            </w:tcMar>
          </w:tcPr>
          <w:p w14:paraId="4BF51168" w14:textId="77777777" w:rsidR="00DE0965" w:rsidRDefault="004163D7">
            <w:pPr>
              <w:keepNext/>
              <w:keepLines/>
              <w:spacing w:line="240" w:lineRule="auto"/>
              <w:rPr>
                <w:sz w:val="14"/>
                <w:szCs w:val="14"/>
              </w:rPr>
            </w:pPr>
            <w:r>
              <w:rPr>
                <w:sz w:val="14"/>
                <w:szCs w:val="14"/>
              </w:rPr>
              <w:t>7.</w:t>
            </w:r>
          </w:p>
        </w:tc>
        <w:tc>
          <w:tcPr>
            <w:tcW w:w="112" w:type="pct"/>
            <w:tcBorders>
              <w:top w:val="nil"/>
              <w:left w:val="nil"/>
              <w:bottom w:val="nil"/>
              <w:right w:val="nil"/>
            </w:tcBorders>
            <w:tcMar>
              <w:top w:w="0" w:type="dxa"/>
              <w:left w:w="0" w:type="dxa"/>
              <w:bottom w:w="0" w:type="dxa"/>
              <w:right w:w="0" w:type="dxa"/>
            </w:tcMar>
          </w:tcPr>
          <w:p w14:paraId="13A9A9D0" w14:textId="77777777" w:rsidR="00DE0965" w:rsidRDefault="00DE0965">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6EE43AAB" w14:textId="77777777" w:rsidR="00DE0965" w:rsidRDefault="004163D7">
            <w:pPr>
              <w:keepNext/>
              <w:keepLines/>
              <w:spacing w:line="240" w:lineRule="auto"/>
              <w:rPr>
                <w:sz w:val="14"/>
                <w:szCs w:val="14"/>
              </w:rPr>
            </w:pPr>
            <w:r>
              <w:rPr>
                <w:sz w:val="14"/>
                <w:szCs w:val="14"/>
              </w:rPr>
              <w:t>8.</w:t>
            </w:r>
          </w:p>
        </w:tc>
      </w:tr>
      <w:tr w:rsidR="00DE0965" w14:paraId="1ACFEF2A"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0A5DA679" w14:textId="77777777" w:rsidR="00DE0965" w:rsidRDefault="004163D7">
            <w:pPr>
              <w:keepNext/>
              <w:keepLines/>
              <w:spacing w:line="240" w:lineRule="auto"/>
              <w:rPr>
                <w:sz w:val="14"/>
                <w:szCs w:val="14"/>
              </w:rPr>
            </w:pPr>
            <w:r>
              <w:rPr>
                <w:noProof/>
                <w:sz w:val="14"/>
                <w:szCs w:val="14"/>
              </w:rPr>
              <w:drawing>
                <wp:inline distT="0" distB="0" distL="0" distR="0" wp14:anchorId="0F3E0599" wp14:editId="59697B0C">
                  <wp:extent cx="1343660" cy="201422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dpi="0">
                          <a:blip r:embed="rId14"/>
                          <a:srcRect/>
                          <a:stretch>
                            <a:fillRect/>
                          </a:stretch>
                        </pic:blipFill>
                        <pic:spPr>
                          <a:xfrm>
                            <a:off x="0" y="0"/>
                            <a:ext cx="134366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45C81652" w14:textId="77777777" w:rsidR="00DE0965" w:rsidRDefault="00DE0965">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280D21A1" w14:textId="77777777" w:rsidR="00DE0965" w:rsidRDefault="004163D7">
            <w:pPr>
              <w:keepNext/>
              <w:keepLines/>
              <w:spacing w:line="240" w:lineRule="auto"/>
              <w:rPr>
                <w:sz w:val="14"/>
                <w:szCs w:val="14"/>
              </w:rPr>
            </w:pPr>
            <w:r>
              <w:rPr>
                <w:noProof/>
                <w:sz w:val="14"/>
                <w:szCs w:val="14"/>
              </w:rPr>
              <w:drawing>
                <wp:inline distT="0" distB="0" distL="0" distR="0" wp14:anchorId="3EA26B9A" wp14:editId="7806D087">
                  <wp:extent cx="3023235" cy="201422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dpi="0">
                          <a:blip r:embed="rId15"/>
                          <a:srcRect/>
                          <a:stretch>
                            <a:fillRect/>
                          </a:stretch>
                        </pic:blipFill>
                        <pic:spPr>
                          <a:xfrm>
                            <a:off x="0" y="0"/>
                            <a:ext cx="3023235" cy="2014220"/>
                          </a:xfrm>
                          <a:prstGeom prst="rect">
                            <a:avLst/>
                          </a:prstGeom>
                        </pic:spPr>
                      </pic:pic>
                    </a:graphicData>
                  </a:graphic>
                </wp:inline>
              </w:drawing>
            </w:r>
          </w:p>
        </w:tc>
      </w:tr>
    </w:tbl>
    <w:p w14:paraId="3616D149" w14:textId="77777777" w:rsidR="00DE0965" w:rsidRDefault="004163D7">
      <w:pPr>
        <w:spacing w:line="240" w:lineRule="auto"/>
      </w:pPr>
      <w:r>
        <w:br w:type="page"/>
      </w:r>
    </w:p>
    <w:p w14:paraId="2467ABBF" w14:textId="558EF866" w:rsidR="00DE0965" w:rsidRDefault="004163D7">
      <w:pPr>
        <w:spacing w:line="240" w:lineRule="auto"/>
        <w:rPr>
          <w:sz w:val="17"/>
          <w:szCs w:val="17"/>
        </w:rPr>
      </w:pPr>
      <w:r>
        <w:rPr>
          <w:b/>
          <w:bCs/>
          <w:sz w:val="17"/>
          <w:szCs w:val="17"/>
        </w:rPr>
        <w:lastRenderedPageBreak/>
        <w:t>9</w:t>
      </w:r>
      <w:r>
        <w:rPr>
          <w:sz w:val="17"/>
          <w:szCs w:val="17"/>
        </w:rPr>
        <w:t xml:space="preserve"> Im Physioraum befinden sich zwei Liegen mit Überlänge auf einer angenehmen Arbeitshöhe und mit wohltuender, in die Decke integrierter Ausleuchtung. Hier werden die Spieler bei Bedarf vom Therapeuten getaped.</w:t>
      </w:r>
      <w:r w:rsidR="00FC0EDF">
        <w:rPr>
          <w:sz w:val="17"/>
          <w:szCs w:val="17"/>
        </w:rPr>
        <w:t xml:space="preserve"> </w:t>
      </w:r>
      <w:r>
        <w:rPr>
          <w:sz w:val="17"/>
          <w:szCs w:val="17"/>
        </w:rPr>
        <w:t>Im Schrank und Stauraum darunter befinden sich die dafür notwenigen Materialen. Foto: Sebastian Kosowski für Schreinerei Stahlmann</w:t>
      </w:r>
      <w:r>
        <w:rPr>
          <w:sz w:val="17"/>
          <w:szCs w:val="17"/>
        </w:rPr>
        <w:br/>
        <w:t> </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DE0965" w14:paraId="49E49E9D" w14:textId="77777777">
        <w:tc>
          <w:tcPr>
            <w:tcW w:w="2444" w:type="pct"/>
            <w:tcBorders>
              <w:top w:val="nil"/>
              <w:left w:val="nil"/>
              <w:bottom w:val="nil"/>
              <w:right w:val="nil"/>
            </w:tcBorders>
            <w:tcMar>
              <w:top w:w="0" w:type="dxa"/>
              <w:left w:w="0" w:type="dxa"/>
              <w:bottom w:w="0" w:type="dxa"/>
              <w:right w:w="0" w:type="dxa"/>
            </w:tcMar>
          </w:tcPr>
          <w:p w14:paraId="38348A24" w14:textId="77777777" w:rsidR="00DE0965" w:rsidRDefault="004163D7">
            <w:pPr>
              <w:keepNext/>
              <w:keepLines/>
              <w:spacing w:line="240" w:lineRule="auto"/>
              <w:rPr>
                <w:sz w:val="14"/>
                <w:szCs w:val="14"/>
              </w:rPr>
            </w:pPr>
            <w:r>
              <w:rPr>
                <w:sz w:val="14"/>
                <w:szCs w:val="14"/>
              </w:rPr>
              <w:t>9.</w:t>
            </w:r>
          </w:p>
        </w:tc>
        <w:tc>
          <w:tcPr>
            <w:tcW w:w="112" w:type="pct"/>
            <w:tcBorders>
              <w:top w:val="nil"/>
              <w:left w:val="nil"/>
              <w:bottom w:val="nil"/>
              <w:right w:val="nil"/>
            </w:tcBorders>
            <w:tcMar>
              <w:top w:w="0" w:type="dxa"/>
              <w:left w:w="0" w:type="dxa"/>
              <w:bottom w:w="0" w:type="dxa"/>
              <w:right w:w="0" w:type="dxa"/>
            </w:tcMar>
          </w:tcPr>
          <w:p w14:paraId="52A4530E" w14:textId="77777777" w:rsidR="00DE0965" w:rsidRDefault="00DE0965">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051320F9" w14:textId="77777777" w:rsidR="00DE0965" w:rsidRDefault="00DE0965">
            <w:pPr>
              <w:keepNext/>
              <w:keepLines/>
              <w:spacing w:line="240" w:lineRule="auto"/>
              <w:rPr>
                <w:sz w:val="14"/>
                <w:szCs w:val="14"/>
              </w:rPr>
            </w:pPr>
          </w:p>
        </w:tc>
      </w:tr>
      <w:tr w:rsidR="00DE0965" w14:paraId="78B7929E"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62A5C2AD" w14:textId="77777777" w:rsidR="00DE0965" w:rsidRDefault="004163D7">
            <w:pPr>
              <w:keepNext/>
              <w:keepLines/>
              <w:spacing w:line="240" w:lineRule="auto"/>
              <w:rPr>
                <w:sz w:val="14"/>
                <w:szCs w:val="14"/>
              </w:rPr>
            </w:pPr>
            <w:r>
              <w:rPr>
                <w:noProof/>
                <w:sz w:val="14"/>
                <w:szCs w:val="14"/>
              </w:rPr>
              <w:drawing>
                <wp:inline distT="0" distB="0" distL="0" distR="0" wp14:anchorId="387AC63A" wp14:editId="59136A39">
                  <wp:extent cx="3023235" cy="201422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dpi="0">
                          <a:blip r:embed="rId16"/>
                          <a:srcRect/>
                          <a:stretch>
                            <a:fillRect/>
                          </a:stretch>
                        </pic:blipFill>
                        <pic:spPr>
                          <a:xfrm>
                            <a:off x="0" y="0"/>
                            <a:ext cx="3023235"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0C2A584B" w14:textId="77777777" w:rsidR="00DE0965" w:rsidRDefault="00DE0965">
            <w:pPr>
              <w:keepNext/>
              <w:keepLines/>
              <w:spacing w:line="240" w:lineRule="auto"/>
              <w:rPr>
                <w:sz w:val="17"/>
                <w:szCs w:val="17"/>
              </w:rPr>
            </w:pPr>
          </w:p>
        </w:tc>
        <w:tc>
          <w:tcPr>
            <w:tcW w:w="2444" w:type="pct"/>
            <w:tcBorders>
              <w:top w:val="nil"/>
              <w:left w:val="nil"/>
              <w:bottom w:val="nil"/>
              <w:right w:val="nil"/>
            </w:tcBorders>
            <w:tcMar>
              <w:top w:w="0" w:type="dxa"/>
              <w:left w:w="0" w:type="dxa"/>
              <w:bottom w:w="0" w:type="dxa"/>
              <w:right w:w="0" w:type="dxa"/>
            </w:tcMar>
          </w:tcPr>
          <w:p w14:paraId="4F89E8DF" w14:textId="77777777" w:rsidR="00DE0965" w:rsidRDefault="00DE0965">
            <w:pPr>
              <w:keepNext/>
              <w:keepLines/>
              <w:spacing w:line="240" w:lineRule="auto"/>
              <w:rPr>
                <w:sz w:val="17"/>
                <w:szCs w:val="17"/>
              </w:rPr>
            </w:pPr>
          </w:p>
        </w:tc>
      </w:tr>
      <w:tr w:rsidR="00DE0965" w14:paraId="6CC133FA" w14:textId="77777777">
        <w:tc>
          <w:tcPr>
            <w:tcW w:w="2444" w:type="pct"/>
            <w:tcBorders>
              <w:top w:val="nil"/>
              <w:left w:val="nil"/>
              <w:bottom w:val="nil"/>
              <w:right w:val="nil"/>
            </w:tcBorders>
            <w:tcMar>
              <w:top w:w="0" w:type="dxa"/>
              <w:left w:w="0" w:type="dxa"/>
              <w:bottom w:w="0" w:type="dxa"/>
              <w:right w:w="0" w:type="dxa"/>
            </w:tcMar>
          </w:tcPr>
          <w:p w14:paraId="3580AEE9" w14:textId="77777777" w:rsidR="00DE0965" w:rsidRDefault="00DE0965">
            <w:pPr>
              <w:keepNext/>
              <w:keepLines/>
              <w:spacing w:line="240" w:lineRule="auto"/>
              <w:rPr>
                <w:sz w:val="17"/>
                <w:szCs w:val="17"/>
              </w:rPr>
            </w:pPr>
          </w:p>
        </w:tc>
        <w:tc>
          <w:tcPr>
            <w:tcW w:w="112" w:type="pct"/>
            <w:tcBorders>
              <w:top w:val="nil"/>
              <w:left w:val="nil"/>
              <w:bottom w:val="nil"/>
              <w:right w:val="nil"/>
            </w:tcBorders>
            <w:tcMar>
              <w:top w:w="0" w:type="dxa"/>
              <w:left w:w="0" w:type="dxa"/>
              <w:bottom w:w="0" w:type="dxa"/>
              <w:right w:w="0" w:type="dxa"/>
            </w:tcMar>
          </w:tcPr>
          <w:p w14:paraId="24C2EFB2" w14:textId="77777777" w:rsidR="00DE0965" w:rsidRDefault="00DE0965">
            <w:pPr>
              <w:keepNext/>
              <w:keepLines/>
              <w:spacing w:line="240" w:lineRule="auto"/>
              <w:rPr>
                <w:sz w:val="17"/>
                <w:szCs w:val="17"/>
              </w:rPr>
            </w:pPr>
          </w:p>
        </w:tc>
        <w:tc>
          <w:tcPr>
            <w:tcW w:w="2444" w:type="pct"/>
            <w:tcBorders>
              <w:top w:val="nil"/>
              <w:left w:val="nil"/>
              <w:bottom w:val="nil"/>
              <w:right w:val="nil"/>
            </w:tcBorders>
            <w:tcMar>
              <w:top w:w="0" w:type="dxa"/>
              <w:left w:w="0" w:type="dxa"/>
              <w:bottom w:w="0" w:type="dxa"/>
              <w:right w:w="0" w:type="dxa"/>
            </w:tcMar>
          </w:tcPr>
          <w:p w14:paraId="65724B57" w14:textId="77777777" w:rsidR="00DE0965" w:rsidRDefault="00DE0965">
            <w:pPr>
              <w:keepNext/>
              <w:keepLines/>
              <w:spacing w:line="240" w:lineRule="auto"/>
              <w:rPr>
                <w:sz w:val="17"/>
                <w:szCs w:val="17"/>
              </w:rPr>
            </w:pPr>
          </w:p>
        </w:tc>
      </w:tr>
      <w:tr w:rsidR="00DE0965" w14:paraId="6522281C" w14:textId="77777777">
        <w:tc>
          <w:tcPr>
            <w:tcW w:w="2444" w:type="pct"/>
            <w:tcBorders>
              <w:top w:val="nil"/>
              <w:left w:val="nil"/>
              <w:bottom w:val="nil"/>
              <w:right w:val="nil"/>
            </w:tcBorders>
            <w:tcMar>
              <w:top w:w="0" w:type="dxa"/>
              <w:left w:w="0" w:type="dxa"/>
              <w:bottom w:w="0" w:type="dxa"/>
              <w:right w:w="0" w:type="dxa"/>
            </w:tcMar>
          </w:tcPr>
          <w:p w14:paraId="4AF3E2D3" w14:textId="77777777" w:rsidR="00DE0965" w:rsidRDefault="00DE0965">
            <w:pPr>
              <w:keepNext/>
              <w:keepLines/>
              <w:spacing w:line="240" w:lineRule="auto"/>
              <w:rPr>
                <w:sz w:val="17"/>
                <w:szCs w:val="17"/>
              </w:rPr>
            </w:pPr>
          </w:p>
        </w:tc>
        <w:tc>
          <w:tcPr>
            <w:tcW w:w="112" w:type="pct"/>
            <w:tcBorders>
              <w:top w:val="nil"/>
              <w:left w:val="nil"/>
              <w:bottom w:val="nil"/>
              <w:right w:val="nil"/>
            </w:tcBorders>
            <w:tcMar>
              <w:top w:w="0" w:type="dxa"/>
              <w:left w:w="0" w:type="dxa"/>
              <w:bottom w:w="0" w:type="dxa"/>
              <w:right w:w="0" w:type="dxa"/>
            </w:tcMar>
          </w:tcPr>
          <w:p w14:paraId="09518CCD" w14:textId="77777777" w:rsidR="00DE0965" w:rsidRDefault="00DE0965">
            <w:pPr>
              <w:keepNext/>
              <w:keepLines/>
              <w:spacing w:line="240" w:lineRule="auto"/>
              <w:rPr>
                <w:sz w:val="17"/>
                <w:szCs w:val="17"/>
              </w:rPr>
            </w:pPr>
          </w:p>
        </w:tc>
        <w:tc>
          <w:tcPr>
            <w:tcW w:w="2444" w:type="pct"/>
            <w:tcBorders>
              <w:top w:val="nil"/>
              <w:left w:val="nil"/>
              <w:bottom w:val="nil"/>
              <w:right w:val="nil"/>
            </w:tcBorders>
            <w:tcMar>
              <w:top w:w="0" w:type="dxa"/>
              <w:left w:w="0" w:type="dxa"/>
              <w:bottom w:w="0" w:type="dxa"/>
              <w:right w:w="0" w:type="dxa"/>
            </w:tcMar>
          </w:tcPr>
          <w:p w14:paraId="18934747" w14:textId="77777777" w:rsidR="00DE0965" w:rsidRDefault="00DE0965">
            <w:pPr>
              <w:keepNext/>
              <w:keepLines/>
              <w:spacing w:line="240" w:lineRule="auto"/>
              <w:rPr>
                <w:sz w:val="17"/>
                <w:szCs w:val="17"/>
              </w:rPr>
            </w:pPr>
          </w:p>
        </w:tc>
      </w:tr>
      <w:tr w:rsidR="00DE0965" w14:paraId="551DAAF6" w14:textId="77777777">
        <w:tc>
          <w:tcPr>
            <w:tcW w:w="2444" w:type="pct"/>
            <w:tcBorders>
              <w:top w:val="nil"/>
              <w:left w:val="nil"/>
              <w:bottom w:val="nil"/>
              <w:right w:val="nil"/>
            </w:tcBorders>
            <w:tcMar>
              <w:top w:w="0" w:type="dxa"/>
              <w:left w:w="0" w:type="dxa"/>
              <w:bottom w:w="0" w:type="dxa"/>
              <w:right w:w="0" w:type="dxa"/>
            </w:tcMar>
          </w:tcPr>
          <w:p w14:paraId="6A69B8A6" w14:textId="77777777" w:rsidR="00DE0965" w:rsidRDefault="00DE0965">
            <w:pPr>
              <w:keepNext/>
              <w:keepLines/>
              <w:spacing w:line="240" w:lineRule="auto"/>
              <w:rPr>
                <w:sz w:val="17"/>
                <w:szCs w:val="17"/>
              </w:rPr>
            </w:pPr>
          </w:p>
        </w:tc>
        <w:tc>
          <w:tcPr>
            <w:tcW w:w="112" w:type="pct"/>
            <w:tcBorders>
              <w:top w:val="nil"/>
              <w:left w:val="nil"/>
              <w:bottom w:val="nil"/>
              <w:right w:val="nil"/>
            </w:tcBorders>
            <w:tcMar>
              <w:top w:w="0" w:type="dxa"/>
              <w:left w:w="0" w:type="dxa"/>
              <w:bottom w:w="0" w:type="dxa"/>
              <w:right w:w="0" w:type="dxa"/>
            </w:tcMar>
          </w:tcPr>
          <w:p w14:paraId="74DDA985" w14:textId="77777777" w:rsidR="00DE0965" w:rsidRDefault="00DE0965">
            <w:pPr>
              <w:keepNext/>
              <w:keepLines/>
              <w:spacing w:line="240" w:lineRule="auto"/>
              <w:rPr>
                <w:sz w:val="17"/>
                <w:szCs w:val="17"/>
              </w:rPr>
            </w:pPr>
          </w:p>
        </w:tc>
        <w:tc>
          <w:tcPr>
            <w:tcW w:w="2444" w:type="pct"/>
            <w:tcBorders>
              <w:top w:val="nil"/>
              <w:left w:val="nil"/>
              <w:bottom w:val="nil"/>
              <w:right w:val="nil"/>
            </w:tcBorders>
            <w:tcMar>
              <w:top w:w="0" w:type="dxa"/>
              <w:left w:w="0" w:type="dxa"/>
              <w:bottom w:w="0" w:type="dxa"/>
              <w:right w:w="0" w:type="dxa"/>
            </w:tcMar>
          </w:tcPr>
          <w:p w14:paraId="76BD3EC3" w14:textId="77777777" w:rsidR="00DE0965" w:rsidRDefault="00DE0965">
            <w:pPr>
              <w:keepNext/>
              <w:keepLines/>
              <w:spacing w:line="240" w:lineRule="auto"/>
              <w:rPr>
                <w:sz w:val="17"/>
                <w:szCs w:val="17"/>
              </w:rPr>
            </w:pPr>
          </w:p>
        </w:tc>
      </w:tr>
    </w:tbl>
    <w:p w14:paraId="6E347D66" w14:textId="77777777" w:rsidR="00DE0965" w:rsidRDefault="004163D7">
      <w:pPr>
        <w:spacing w:line="240" w:lineRule="auto"/>
      </w:pPr>
      <w:r>
        <w:br w:type="page"/>
      </w:r>
    </w:p>
    <w:tbl>
      <w:tblPr>
        <w:tblStyle w:val="TabelleEinfach1"/>
        <w:tblW w:w="5000" w:type="pct"/>
        <w:tblLayout w:type="fixed"/>
        <w:tblCellMar>
          <w:left w:w="0" w:type="dxa"/>
          <w:right w:w="227" w:type="dxa"/>
        </w:tblCellMar>
        <w:tblLook w:val="04A0" w:firstRow="1" w:lastRow="0" w:firstColumn="1" w:lastColumn="0" w:noHBand="0" w:noVBand="1"/>
      </w:tblPr>
      <w:tblGrid>
        <w:gridCol w:w="3413"/>
        <w:gridCol w:w="3413"/>
        <w:gridCol w:w="2926"/>
      </w:tblGrid>
      <w:tr w:rsidR="00DE0965" w14:paraId="7904D02D" w14:textId="77777777">
        <w:tc>
          <w:tcPr>
            <w:tcW w:w="3500" w:type="pct"/>
            <w:gridSpan w:val="2"/>
            <w:tcBorders>
              <w:top w:val="nil"/>
              <w:left w:val="nil"/>
              <w:bottom w:val="nil"/>
              <w:right w:val="nil"/>
            </w:tcBorders>
            <w:tcMar>
              <w:top w:w="0" w:type="dxa"/>
              <w:left w:w="0" w:type="dxa"/>
              <w:bottom w:w="0" w:type="dxa"/>
              <w:right w:w="227" w:type="dxa"/>
            </w:tcMar>
          </w:tcPr>
          <w:p w14:paraId="6EBBB0AE" w14:textId="77777777" w:rsidR="00DE0965" w:rsidRPr="002825DF" w:rsidRDefault="004163D7">
            <w:pPr>
              <w:spacing w:before="240" w:after="240"/>
              <w:rPr>
                <w:sz w:val="20"/>
                <w:szCs w:val="20"/>
                <w:lang w:val="en-GB"/>
              </w:rPr>
            </w:pPr>
            <w:r w:rsidRPr="002825DF">
              <w:rPr>
                <w:b/>
                <w:bCs/>
                <w:sz w:val="20"/>
                <w:szCs w:val="20"/>
                <w:lang w:val="en-GB"/>
              </w:rPr>
              <w:lastRenderedPageBreak/>
              <w:t>Über Häfele</w:t>
            </w:r>
          </w:p>
          <w:p w14:paraId="31760284" w14:textId="77777777" w:rsidR="00DE0965" w:rsidRDefault="004163D7">
            <w:pPr>
              <w:spacing w:before="240" w:after="240"/>
              <w:rPr>
                <w:sz w:val="20"/>
                <w:szCs w:val="20"/>
              </w:rPr>
            </w:pPr>
            <w:r w:rsidRPr="002825DF">
              <w:rPr>
                <w:b/>
                <w:bCs/>
                <w:sz w:val="20"/>
                <w:szCs w:val="20"/>
                <w:lang w:val="en-GB"/>
              </w:rPr>
              <w:t xml:space="preserve">Maximising the value of space. </w:t>
            </w:r>
            <w:r>
              <w:rPr>
                <w:b/>
                <w:bCs/>
                <w:sz w:val="20"/>
                <w:szCs w:val="20"/>
              </w:rPr>
              <w:t>Together.</w:t>
            </w:r>
          </w:p>
          <w:p w14:paraId="174B4CCF" w14:textId="77777777" w:rsidR="00DE0965" w:rsidRDefault="004163D7">
            <w:pPr>
              <w:spacing w:before="240" w:after="240"/>
              <w:rPr>
                <w:sz w:val="20"/>
                <w:szCs w:val="20"/>
              </w:rPr>
            </w:pPr>
            <w:r>
              <w:rPr>
                <w:sz w:val="20"/>
                <w:szCs w:val="20"/>
              </w:rPr>
              <w:t>Lebenswerte, nachhaltige Raumkonzepte für die Wohn- und Arbeitswelten von morgen zu entwickeln, diesem Ziel hat sich Häfele verschrieben. Gemeinsam mit seinen Partnern schafft Häfele ressourcenschonende, multifunktionale Lösungen bei höchstem Komfort.</w:t>
            </w:r>
          </w:p>
          <w:p w14:paraId="3ECE6649" w14:textId="77777777" w:rsidR="00DE0965" w:rsidRDefault="004163D7">
            <w:pPr>
              <w:spacing w:before="240" w:after="240"/>
              <w:rPr>
                <w:sz w:val="20"/>
                <w:szCs w:val="20"/>
              </w:rPr>
            </w:pPr>
            <w:r>
              <w:rPr>
                <w:sz w:val="20"/>
                <w:szCs w:val="20"/>
              </w:rPr>
              <w:t>Der 1923 gegründete, global agierende Spezialist für intelligente Beschlagtechnik, elektronische Schließsysteme sowie Beleuchtung und Vernetzung bietet seinen Kunden aus über 150 Ländern eine einzigartige 360°-Kompetenz. Mit einem umfassenden Produktsortiment, zahlreichen Serviceleistungen und viel Innovationsgeist steht das Familienunternehmen seinen Partnern aus Handwerk, Möbelindustrie, Handel und Architektur als verlässlicher Partner zur Seite - von der Ideenfindung über die Planung bis zur Umsetzung ihrer Projekte.</w:t>
            </w:r>
          </w:p>
          <w:p w14:paraId="0F36C422" w14:textId="77777777" w:rsidR="00DE0965" w:rsidRDefault="004163D7">
            <w:pPr>
              <w:spacing w:before="240" w:after="240"/>
              <w:rPr>
                <w:sz w:val="20"/>
                <w:szCs w:val="20"/>
              </w:rPr>
            </w:pPr>
            <w:r>
              <w:rPr>
                <w:sz w:val="20"/>
                <w:szCs w:val="20"/>
              </w:rPr>
              <w:t>Über 8.000 Mitarbeitende sowie 39 Tochterunternehmen und zahlreiche weitere Vertretungen in aller Welt bilden das Team des Global Players mit Hauptsitz in Nagold im Schwarzwald. Die Unternehmensgruppe wird seit Januar 2023 von Gregor Riekena geführt. Sibylle Thierer ist Vorsitzende des Verwaltungsrats und Gesellschafterin des 100%igen Familienunternehmens. Im Geschäftsjahr 2025 erzielte die Häfele Gruppe einen Umsatz von 1,72 Mrd. Euro bei einem Exportanteil von 82%.</w:t>
            </w:r>
          </w:p>
          <w:p w14:paraId="430EF603" w14:textId="77777777" w:rsidR="00DE0965" w:rsidRDefault="004163D7">
            <w:pPr>
              <w:spacing w:before="240" w:after="240"/>
              <w:rPr>
                <w:sz w:val="20"/>
                <w:szCs w:val="20"/>
              </w:rPr>
            </w:pPr>
            <w:r>
              <w:rPr>
                <w:sz w:val="20"/>
                <w:szCs w:val="20"/>
              </w:rPr>
              <w:t xml:space="preserve">Weitere Informationen unter </w:t>
            </w:r>
            <w:hyperlink r:id="rId17">
              <w:r>
                <w:rPr>
                  <w:rStyle w:val="Hyperlink"/>
                  <w:color w:val="000000"/>
                  <w:sz w:val="20"/>
                  <w:szCs w:val="20"/>
                </w:rPr>
                <w:t>www.haefele.de</w:t>
              </w:r>
            </w:hyperlink>
          </w:p>
          <w:p w14:paraId="3000AAA1" w14:textId="77777777" w:rsidR="00DE0965" w:rsidRDefault="004163D7">
            <w:pPr>
              <w:rPr>
                <w:sz w:val="20"/>
                <w:szCs w:val="20"/>
              </w:rPr>
            </w:pPr>
            <w:r>
              <w:rPr>
                <w:sz w:val="20"/>
                <w:szCs w:val="20"/>
              </w:rPr>
              <w:br/>
            </w:r>
          </w:p>
        </w:tc>
        <w:tc>
          <w:tcPr>
            <w:tcW w:w="1500" w:type="pct"/>
            <w:tcBorders>
              <w:top w:val="nil"/>
              <w:left w:val="nil"/>
              <w:bottom w:val="nil"/>
              <w:right w:val="nil"/>
            </w:tcBorders>
            <w:tcMar>
              <w:top w:w="0" w:type="dxa"/>
              <w:left w:w="0" w:type="dxa"/>
              <w:bottom w:w="0" w:type="dxa"/>
              <w:right w:w="227" w:type="dxa"/>
            </w:tcMar>
          </w:tcPr>
          <w:p w14:paraId="249EBEA7" w14:textId="77777777" w:rsidR="00DE0965" w:rsidRDefault="004163D7">
            <w:pPr>
              <w:rPr>
                <w:sz w:val="20"/>
                <w:szCs w:val="20"/>
              </w:rPr>
            </w:pPr>
            <w:r>
              <w:rPr>
                <w:sz w:val="20"/>
                <w:szCs w:val="20"/>
              </w:rPr>
              <w:br/>
            </w:r>
          </w:p>
        </w:tc>
      </w:tr>
      <w:tr w:rsidR="00DE0965" w14:paraId="45ABEFB7" w14:textId="77777777">
        <w:trPr>
          <w:gridAfter w:val="1"/>
          <w:wAfter w:w="2160" w:type="dxa"/>
        </w:trPr>
        <w:tc>
          <w:tcPr>
            <w:tcW w:w="2520" w:type="dxa"/>
            <w:tcBorders>
              <w:top w:val="nil"/>
              <w:left w:val="nil"/>
              <w:bottom w:val="nil"/>
              <w:right w:val="nil"/>
            </w:tcBorders>
            <w:tcMar>
              <w:top w:w="0" w:type="dxa"/>
              <w:left w:w="0" w:type="dxa"/>
              <w:bottom w:w="0" w:type="dxa"/>
              <w:right w:w="227" w:type="dxa"/>
            </w:tcMar>
          </w:tcPr>
          <w:p w14:paraId="48B34170" w14:textId="77777777" w:rsidR="00DE0965" w:rsidRDefault="00DE0965">
            <w:pPr>
              <w:rPr>
                <w:sz w:val="20"/>
                <w:szCs w:val="20"/>
              </w:rPr>
            </w:pPr>
          </w:p>
        </w:tc>
        <w:tc>
          <w:tcPr>
            <w:tcW w:w="2520" w:type="dxa"/>
            <w:tcBorders>
              <w:top w:val="nil"/>
              <w:left w:val="nil"/>
              <w:bottom w:val="nil"/>
              <w:right w:val="nil"/>
            </w:tcBorders>
            <w:tcMar>
              <w:top w:w="0" w:type="dxa"/>
              <w:left w:w="0" w:type="dxa"/>
              <w:bottom w:w="0" w:type="dxa"/>
              <w:right w:w="227" w:type="dxa"/>
            </w:tcMar>
          </w:tcPr>
          <w:p w14:paraId="1FE23F87" w14:textId="77777777" w:rsidR="00DE0965" w:rsidRDefault="00DE0965">
            <w:pPr>
              <w:rPr>
                <w:sz w:val="20"/>
                <w:szCs w:val="20"/>
              </w:rPr>
            </w:pPr>
          </w:p>
        </w:tc>
      </w:tr>
    </w:tbl>
    <w:p w14:paraId="701818DE" w14:textId="77777777" w:rsidR="00DE0965" w:rsidRDefault="00DE0965">
      <w:pPr>
        <w:spacing w:line="240" w:lineRule="auto"/>
      </w:pPr>
    </w:p>
    <w:sectPr w:rsidR="00DE0965">
      <w:headerReference w:type="default" r:id="rId18"/>
      <w:footerReference w:type="default" r:id="rId19"/>
      <w:headerReference w:type="first" r:id="rId20"/>
      <w:footerReference w:type="first" r:id="rId21"/>
      <w:pgSz w:w="11906" w:h="16838"/>
      <w:pgMar w:top="2154" w:right="1020" w:bottom="1134" w:left="1134" w:header="850" w:footer="28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0F8A2F" w14:textId="77777777" w:rsidR="00E748ED" w:rsidRDefault="00E748ED">
      <w:pPr>
        <w:spacing w:line="240" w:lineRule="auto"/>
      </w:pPr>
      <w:r>
        <w:separator/>
      </w:r>
    </w:p>
  </w:endnote>
  <w:endnote w:type="continuationSeparator" w:id="0">
    <w:p w14:paraId="1E58EBA4" w14:textId="77777777" w:rsidR="00E748ED" w:rsidRDefault="00E748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leEinfach1"/>
      <w:tblW w:w="5000" w:type="pct"/>
      <w:tblLayout w:type="fixed"/>
      <w:tblLook w:val="04A0" w:firstRow="1" w:lastRow="0" w:firstColumn="1" w:lastColumn="0" w:noHBand="0" w:noVBand="1"/>
    </w:tblPr>
    <w:tblGrid>
      <w:gridCol w:w="9557"/>
      <w:gridCol w:w="195"/>
    </w:tblGrid>
    <w:tr w:rsidR="00DE0965" w14:paraId="38F9744B" w14:textId="77777777">
      <w:tc>
        <w:tcPr>
          <w:tcW w:w="4900" w:type="pct"/>
          <w:tcBorders>
            <w:top w:val="nil"/>
            <w:left w:val="nil"/>
            <w:bottom w:val="nil"/>
            <w:right w:val="nil"/>
          </w:tcBorders>
          <w:tcMar>
            <w:top w:w="0" w:type="dxa"/>
            <w:left w:w="0" w:type="dxa"/>
            <w:bottom w:w="0" w:type="dxa"/>
            <w:right w:w="0" w:type="dxa"/>
          </w:tcMar>
          <w:vAlign w:val="bottom"/>
        </w:tcPr>
        <w:p w14:paraId="718970D1" w14:textId="77777777" w:rsidR="00DE0965" w:rsidRDefault="00DE0965">
          <w:pPr>
            <w:rPr>
              <w:sz w:val="14"/>
              <w:szCs w:val="14"/>
            </w:rPr>
          </w:pPr>
        </w:p>
      </w:tc>
      <w:tc>
        <w:tcPr>
          <w:tcW w:w="100" w:type="pct"/>
          <w:tcBorders>
            <w:top w:val="nil"/>
            <w:left w:val="nil"/>
            <w:bottom w:val="nil"/>
            <w:right w:val="nil"/>
          </w:tcBorders>
          <w:tcMar>
            <w:top w:w="0" w:type="dxa"/>
            <w:left w:w="0" w:type="dxa"/>
            <w:bottom w:w="0" w:type="dxa"/>
            <w:right w:w="0" w:type="dxa"/>
          </w:tcMar>
          <w:vAlign w:val="bottom"/>
        </w:tcPr>
        <w:p w14:paraId="40B9F504" w14:textId="77777777" w:rsidR="00DE0965" w:rsidRDefault="004163D7">
          <w:pPr>
            <w:rPr>
              <w:sz w:val="14"/>
              <w:szCs w:val="14"/>
            </w:rPr>
          </w:pPr>
          <w:r>
            <w:rPr>
              <w:sz w:val="14"/>
              <w:szCs w:val="14"/>
            </w:rPr>
            <w:fldChar w:fldCharType="begin"/>
          </w:r>
          <w:r>
            <w:rPr>
              <w:sz w:val="14"/>
              <w:szCs w:val="14"/>
            </w:rPr>
            <w:instrText>PAGE \* ARABIC</w:instrText>
          </w:r>
          <w:r>
            <w:rPr>
              <w:sz w:val="14"/>
              <w:szCs w:val="14"/>
            </w:rPr>
            <w:fldChar w:fldCharType="separate"/>
          </w:r>
          <w:r>
            <w:rPr>
              <w:sz w:val="14"/>
              <w:szCs w:val="14"/>
            </w:rPr>
            <w:t>#</w:t>
          </w:r>
          <w:r>
            <w:rPr>
              <w:sz w:val="14"/>
              <w:szCs w:val="14"/>
            </w:rPr>
            <w:fldChar w:fldCharType="end"/>
          </w:r>
        </w:p>
      </w:tc>
    </w:tr>
  </w:tbl>
  <w:p w14:paraId="54EF32EB" w14:textId="77777777" w:rsidR="00DE0965" w:rsidRDefault="00DE0965">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leEinfach1"/>
      <w:tblW w:w="5000" w:type="pct"/>
      <w:tblLayout w:type="fixed"/>
      <w:tblCellMar>
        <w:left w:w="0" w:type="dxa"/>
        <w:right w:w="0" w:type="dxa"/>
      </w:tblCellMar>
      <w:tblLook w:val="04A0" w:firstRow="1" w:lastRow="0" w:firstColumn="1" w:lastColumn="0" w:noHBand="0" w:noVBand="1"/>
    </w:tblPr>
    <w:tblGrid>
      <w:gridCol w:w="9557"/>
      <w:gridCol w:w="195"/>
    </w:tblGrid>
    <w:tr w:rsidR="00DE0965" w14:paraId="29C9DC8F" w14:textId="77777777">
      <w:tc>
        <w:tcPr>
          <w:tcW w:w="4900" w:type="pct"/>
          <w:tcBorders>
            <w:top w:val="nil"/>
            <w:left w:val="nil"/>
            <w:bottom w:val="nil"/>
            <w:right w:val="nil"/>
          </w:tcBorders>
          <w:tcMar>
            <w:top w:w="0" w:type="dxa"/>
            <w:left w:w="0" w:type="dxa"/>
            <w:bottom w:w="0" w:type="dxa"/>
            <w:right w:w="0" w:type="dxa"/>
          </w:tcMar>
          <w:vAlign w:val="bottom"/>
        </w:tcPr>
        <w:p w14:paraId="63ADB270" w14:textId="77777777" w:rsidR="00DE0965" w:rsidRDefault="00DE0965">
          <w:pPr>
            <w:rPr>
              <w:sz w:val="14"/>
              <w:szCs w:val="14"/>
            </w:rPr>
          </w:pPr>
        </w:p>
      </w:tc>
      <w:tc>
        <w:tcPr>
          <w:tcW w:w="100" w:type="pct"/>
          <w:tcBorders>
            <w:top w:val="nil"/>
            <w:left w:val="nil"/>
            <w:bottom w:val="nil"/>
            <w:right w:val="nil"/>
          </w:tcBorders>
          <w:tcMar>
            <w:top w:w="0" w:type="dxa"/>
            <w:left w:w="0" w:type="dxa"/>
            <w:bottom w:w="0" w:type="dxa"/>
            <w:right w:w="0" w:type="dxa"/>
          </w:tcMar>
          <w:vAlign w:val="bottom"/>
        </w:tcPr>
        <w:p w14:paraId="19A35393" w14:textId="77777777" w:rsidR="00DE0965" w:rsidRDefault="00DE0965">
          <w:pPr>
            <w:rPr>
              <w:sz w:val="14"/>
              <w:szCs w:val="14"/>
            </w:rPr>
          </w:pPr>
        </w:p>
      </w:tc>
    </w:tr>
  </w:tbl>
  <w:p w14:paraId="401F2F98" w14:textId="77777777" w:rsidR="00DE0965" w:rsidRDefault="00DE0965">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8948E8" w14:textId="77777777" w:rsidR="00E748ED" w:rsidRDefault="00E748ED">
      <w:pPr>
        <w:spacing w:line="240" w:lineRule="auto"/>
      </w:pPr>
      <w:r>
        <w:separator/>
      </w:r>
    </w:p>
  </w:footnote>
  <w:footnote w:type="continuationSeparator" w:id="0">
    <w:p w14:paraId="6EBFD705" w14:textId="77777777" w:rsidR="00E748ED" w:rsidRDefault="00E748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6FC825" w14:textId="77777777" w:rsidR="00DE0965" w:rsidRDefault="004163D7">
    <w:r>
      <w:rPr>
        <w:noProof/>
      </w:rPr>
      <w:drawing>
        <wp:anchor distT="0" distB="0" distL="114300" distR="114300" simplePos="0" relativeHeight="251659264" behindDoc="0" locked="0" layoutInCell="0" allowOverlap="0" wp14:anchorId="660B8330" wp14:editId="62B4BFF2">
          <wp:simplePos x="0" y="0"/>
          <wp:positionH relativeFrom="page">
            <wp:posOffset>5147945</wp:posOffset>
          </wp:positionH>
          <wp:positionV relativeFrom="page">
            <wp:posOffset>539750</wp:posOffset>
          </wp:positionV>
          <wp:extent cx="1235710" cy="58801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dpi="0">
                  <a:blip r:embed="rId1"/>
                  <a:srcRect/>
                  <a:stretch>
                    <a:fillRect/>
                  </a:stretch>
                </pic:blipFill>
                <pic:spPr>
                  <a:xfrm>
                    <a:off x="0" y="0"/>
                    <a:ext cx="1235710" cy="588010"/>
                  </a:xfrm>
                  <a:prstGeom prst="rect">
                    <a:avLst/>
                  </a:prstGeom>
                </pic:spPr>
              </pic:pic>
            </a:graphicData>
          </a:graphic>
        </wp:anchor>
      </w:drawing>
    </w:r>
    <w:r>
      <w:rPr>
        <w:rFonts w:eastAsia="Arial"/>
        <w:b/>
        <w:bCs/>
      </w:rPr>
      <w:t>PRESSE-INFORMATION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B81911" w14:textId="77777777" w:rsidR="00DE0965" w:rsidRDefault="004163D7">
    <w:r>
      <w:rPr>
        <w:noProof/>
      </w:rPr>
      <w:drawing>
        <wp:anchor distT="0" distB="0" distL="114300" distR="114300" simplePos="0" relativeHeight="251658240" behindDoc="0" locked="0" layoutInCell="0" allowOverlap="0" wp14:anchorId="4B349C40" wp14:editId="3C5B2E53">
          <wp:simplePos x="0" y="0"/>
          <wp:positionH relativeFrom="page">
            <wp:posOffset>5147945</wp:posOffset>
          </wp:positionH>
          <wp:positionV relativeFrom="page">
            <wp:posOffset>539750</wp:posOffset>
          </wp:positionV>
          <wp:extent cx="1235710" cy="58801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r:embed="rId1"/>
                  <a:srcRect/>
                  <a:stretch>
                    <a:fillRect/>
                  </a:stretch>
                </pic:blipFill>
                <pic:spPr>
                  <a:xfrm>
                    <a:off x="0" y="0"/>
                    <a:ext cx="1235710" cy="588010"/>
                  </a:xfrm>
                  <a:prstGeom prst="rect">
                    <a:avLst/>
                  </a:prstGeom>
                </pic:spPr>
              </pic:pic>
            </a:graphicData>
          </a:graphic>
        </wp:anchor>
      </w:drawing>
    </w:r>
    <w:r>
      <w:rPr>
        <w:rFonts w:eastAsia="Arial"/>
        <w:b/>
        <w:bCs/>
      </w:rPr>
      <w:t>PRESSE-INFORMATION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9D2BE7"/>
    <w:multiLevelType w:val="hybridMultilevel"/>
    <w:tmpl w:val="EA2661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EEA3534"/>
    <w:multiLevelType w:val="hybridMultilevel"/>
    <w:tmpl w:val="CADE4F3C"/>
    <w:lvl w:ilvl="0" w:tplc="71503CF8">
      <w:start w:val="1"/>
      <w:numFmt w:val="bullet"/>
      <w:lvlText w:val="·"/>
      <w:lvlJc w:val="left"/>
      <w:pPr>
        <w:ind w:left="720" w:hanging="360"/>
      </w:pPr>
      <w:rPr>
        <w:rFonts w:ascii="Symbol" w:eastAsia="Symbol" w:hAnsi="Symbol" w:cs="Symbol"/>
      </w:rPr>
    </w:lvl>
    <w:lvl w:ilvl="1" w:tplc="65AE7373">
      <w:start w:val="1"/>
      <w:numFmt w:val="bullet"/>
      <w:lvlText w:val="o"/>
      <w:lvlJc w:val="left"/>
      <w:pPr>
        <w:ind w:left="1440" w:hanging="360"/>
      </w:pPr>
      <w:rPr>
        <w:rFonts w:ascii="Symbol" w:hAnsi="Symbol"/>
      </w:rPr>
    </w:lvl>
    <w:lvl w:ilvl="2" w:tplc="406407F0">
      <w:start w:val="1"/>
      <w:numFmt w:val="bullet"/>
      <w:lvlText w:val="·"/>
      <w:lvlJc w:val="left"/>
      <w:pPr>
        <w:ind w:left="2160" w:hanging="360"/>
      </w:pPr>
      <w:rPr>
        <w:rFonts w:ascii="Symbol" w:hAnsi="Symbol"/>
      </w:rPr>
    </w:lvl>
    <w:lvl w:ilvl="3" w:tplc="6F2D28A7">
      <w:start w:val="1"/>
      <w:numFmt w:val="bullet"/>
      <w:lvlText w:val="o"/>
      <w:lvlJc w:val="left"/>
      <w:pPr>
        <w:ind w:left="2880" w:hanging="360"/>
      </w:pPr>
      <w:rPr>
        <w:rFonts w:ascii="Symbol" w:hAnsi="Symbol"/>
      </w:rPr>
    </w:lvl>
    <w:lvl w:ilvl="4" w:tplc="5E13998F">
      <w:start w:val="1"/>
      <w:numFmt w:val="bullet"/>
      <w:lvlText w:val="·"/>
      <w:lvlJc w:val="left"/>
      <w:pPr>
        <w:ind w:left="3600" w:hanging="360"/>
      </w:pPr>
      <w:rPr>
        <w:rFonts w:ascii="Symbol" w:hAnsi="Symbol"/>
      </w:rPr>
    </w:lvl>
    <w:lvl w:ilvl="5" w:tplc="6A9CD3D8">
      <w:start w:val="1"/>
      <w:numFmt w:val="bullet"/>
      <w:lvlText w:val="o"/>
      <w:lvlJc w:val="left"/>
      <w:pPr>
        <w:ind w:left="4320" w:hanging="360"/>
      </w:pPr>
      <w:rPr>
        <w:rFonts w:ascii="Symbol" w:hAnsi="Symbol"/>
      </w:rPr>
    </w:lvl>
    <w:lvl w:ilvl="6" w:tplc="3657863C">
      <w:start w:val="1"/>
      <w:numFmt w:val="bullet"/>
      <w:lvlText w:val="·"/>
      <w:lvlJc w:val="left"/>
      <w:pPr>
        <w:ind w:left="5040" w:hanging="360"/>
      </w:pPr>
      <w:rPr>
        <w:rFonts w:ascii="Symbol" w:hAnsi="Symbol"/>
      </w:rPr>
    </w:lvl>
    <w:lvl w:ilvl="7" w:tplc="7BC1A6CB">
      <w:start w:val="1"/>
      <w:numFmt w:val="bullet"/>
      <w:lvlText w:val="o"/>
      <w:lvlJc w:val="left"/>
      <w:pPr>
        <w:ind w:left="5760" w:hanging="360"/>
      </w:pPr>
      <w:rPr>
        <w:rFonts w:ascii="Symbol" w:hAnsi="Symbol"/>
      </w:rPr>
    </w:lvl>
    <w:lvl w:ilvl="8" w:tplc="7B641180">
      <w:start w:val="1"/>
      <w:numFmt w:val="bullet"/>
      <w:lvlText w:val="·"/>
      <w:lvlJc w:val="left"/>
      <w:pPr>
        <w:ind w:left="6480" w:hanging="360"/>
      </w:pPr>
      <w:rPr>
        <w:rFonts w:ascii="Symbol" w:hAnsi="Symbol"/>
      </w:rPr>
    </w:lvl>
  </w:abstractNum>
  <w:abstractNum w:abstractNumId="2" w15:restartNumberingAfterBreak="0">
    <w:nsid w:val="5D40E3E2"/>
    <w:multiLevelType w:val="hybridMultilevel"/>
    <w:tmpl w:val="6A72F8AA"/>
    <w:lvl w:ilvl="0" w:tplc="5231CBEA">
      <w:start w:val="1"/>
      <w:numFmt w:val="bullet"/>
      <w:lvlText w:val="·"/>
      <w:lvlJc w:val="left"/>
      <w:pPr>
        <w:ind w:left="720" w:hanging="360"/>
      </w:pPr>
      <w:rPr>
        <w:rFonts w:ascii="Symbol" w:eastAsia="Symbol" w:hAnsi="Symbol" w:cs="Symbol"/>
      </w:rPr>
    </w:lvl>
    <w:lvl w:ilvl="1" w:tplc="67028F55">
      <w:start w:val="1"/>
      <w:numFmt w:val="bullet"/>
      <w:lvlText w:val="o"/>
      <w:lvlJc w:val="left"/>
      <w:pPr>
        <w:ind w:left="1440" w:hanging="360"/>
      </w:pPr>
      <w:rPr>
        <w:rFonts w:ascii="Symbol" w:hAnsi="Symbol"/>
      </w:rPr>
    </w:lvl>
    <w:lvl w:ilvl="2" w:tplc="27EC5858">
      <w:start w:val="1"/>
      <w:numFmt w:val="bullet"/>
      <w:lvlText w:val="·"/>
      <w:lvlJc w:val="left"/>
      <w:pPr>
        <w:ind w:left="2160" w:hanging="360"/>
      </w:pPr>
      <w:rPr>
        <w:rFonts w:ascii="Symbol" w:hAnsi="Symbol"/>
      </w:rPr>
    </w:lvl>
    <w:lvl w:ilvl="3" w:tplc="535510DD">
      <w:start w:val="1"/>
      <w:numFmt w:val="bullet"/>
      <w:lvlText w:val="o"/>
      <w:lvlJc w:val="left"/>
      <w:pPr>
        <w:ind w:left="2880" w:hanging="360"/>
      </w:pPr>
      <w:rPr>
        <w:rFonts w:ascii="Symbol" w:hAnsi="Symbol"/>
      </w:rPr>
    </w:lvl>
    <w:lvl w:ilvl="4" w:tplc="171086C8">
      <w:start w:val="1"/>
      <w:numFmt w:val="bullet"/>
      <w:lvlText w:val="·"/>
      <w:lvlJc w:val="left"/>
      <w:pPr>
        <w:ind w:left="3600" w:hanging="360"/>
      </w:pPr>
      <w:rPr>
        <w:rFonts w:ascii="Symbol" w:hAnsi="Symbol"/>
      </w:rPr>
    </w:lvl>
    <w:lvl w:ilvl="5" w:tplc="372BB001">
      <w:start w:val="1"/>
      <w:numFmt w:val="bullet"/>
      <w:lvlText w:val="o"/>
      <w:lvlJc w:val="left"/>
      <w:pPr>
        <w:ind w:left="4320" w:hanging="360"/>
      </w:pPr>
      <w:rPr>
        <w:rFonts w:ascii="Symbol" w:hAnsi="Symbol"/>
      </w:rPr>
    </w:lvl>
    <w:lvl w:ilvl="6" w:tplc="0C443EEA">
      <w:start w:val="1"/>
      <w:numFmt w:val="bullet"/>
      <w:lvlText w:val="·"/>
      <w:lvlJc w:val="left"/>
      <w:pPr>
        <w:ind w:left="5040" w:hanging="360"/>
      </w:pPr>
      <w:rPr>
        <w:rFonts w:ascii="Symbol" w:hAnsi="Symbol"/>
      </w:rPr>
    </w:lvl>
    <w:lvl w:ilvl="7" w:tplc="0056AE96">
      <w:start w:val="1"/>
      <w:numFmt w:val="bullet"/>
      <w:lvlText w:val="o"/>
      <w:lvlJc w:val="left"/>
      <w:pPr>
        <w:ind w:left="5760" w:hanging="360"/>
      </w:pPr>
      <w:rPr>
        <w:rFonts w:ascii="Symbol" w:hAnsi="Symbol"/>
      </w:rPr>
    </w:lvl>
    <w:lvl w:ilvl="8" w:tplc="1EC147E2">
      <w:start w:val="1"/>
      <w:numFmt w:val="bullet"/>
      <w:lvlText w:val="·"/>
      <w:lvlJc w:val="left"/>
      <w:pPr>
        <w:ind w:left="6480" w:hanging="360"/>
      </w:pPr>
      <w:rPr>
        <w:rFonts w:ascii="Symbol" w:hAnsi="Symbol"/>
      </w:rPr>
    </w:lvl>
  </w:abstractNum>
  <w:abstractNum w:abstractNumId="3" w15:restartNumberingAfterBreak="0">
    <w:nsid w:val="601ECE10"/>
    <w:multiLevelType w:val="hybridMultilevel"/>
    <w:tmpl w:val="0CC8D7FA"/>
    <w:lvl w:ilvl="0" w:tplc="50B31B1B">
      <w:start w:val="1"/>
      <w:numFmt w:val="bullet"/>
      <w:lvlText w:val="·"/>
      <w:lvlJc w:val="left"/>
      <w:pPr>
        <w:ind w:left="720" w:hanging="360"/>
      </w:pPr>
      <w:rPr>
        <w:rFonts w:ascii="Symbol" w:eastAsia="Symbol" w:hAnsi="Symbol" w:cs="Symbol"/>
      </w:rPr>
    </w:lvl>
    <w:lvl w:ilvl="1" w:tplc="25275530">
      <w:start w:val="1"/>
      <w:numFmt w:val="bullet"/>
      <w:lvlText w:val="o"/>
      <w:lvlJc w:val="left"/>
      <w:pPr>
        <w:ind w:left="1440" w:hanging="360"/>
      </w:pPr>
      <w:rPr>
        <w:rFonts w:ascii="Symbol" w:hAnsi="Symbol"/>
      </w:rPr>
    </w:lvl>
    <w:lvl w:ilvl="2" w:tplc="2877B7FA">
      <w:start w:val="1"/>
      <w:numFmt w:val="bullet"/>
      <w:lvlText w:val="·"/>
      <w:lvlJc w:val="left"/>
      <w:pPr>
        <w:ind w:left="2160" w:hanging="360"/>
      </w:pPr>
      <w:rPr>
        <w:rFonts w:ascii="Symbol" w:hAnsi="Symbol"/>
      </w:rPr>
    </w:lvl>
    <w:lvl w:ilvl="3" w:tplc="59111386">
      <w:start w:val="1"/>
      <w:numFmt w:val="bullet"/>
      <w:lvlText w:val="o"/>
      <w:lvlJc w:val="left"/>
      <w:pPr>
        <w:ind w:left="2880" w:hanging="360"/>
      </w:pPr>
      <w:rPr>
        <w:rFonts w:ascii="Symbol" w:hAnsi="Symbol"/>
      </w:rPr>
    </w:lvl>
    <w:lvl w:ilvl="4" w:tplc="62F4D5E3">
      <w:start w:val="1"/>
      <w:numFmt w:val="bullet"/>
      <w:lvlText w:val="·"/>
      <w:lvlJc w:val="left"/>
      <w:pPr>
        <w:ind w:left="3600" w:hanging="360"/>
      </w:pPr>
      <w:rPr>
        <w:rFonts w:ascii="Symbol" w:hAnsi="Symbol"/>
      </w:rPr>
    </w:lvl>
    <w:lvl w:ilvl="5" w:tplc="0EB0F276">
      <w:start w:val="1"/>
      <w:numFmt w:val="bullet"/>
      <w:lvlText w:val="o"/>
      <w:lvlJc w:val="left"/>
      <w:pPr>
        <w:ind w:left="4320" w:hanging="360"/>
      </w:pPr>
      <w:rPr>
        <w:rFonts w:ascii="Symbol" w:hAnsi="Symbol"/>
      </w:rPr>
    </w:lvl>
    <w:lvl w:ilvl="6" w:tplc="67098835">
      <w:start w:val="1"/>
      <w:numFmt w:val="bullet"/>
      <w:lvlText w:val="·"/>
      <w:lvlJc w:val="left"/>
      <w:pPr>
        <w:ind w:left="5040" w:hanging="360"/>
      </w:pPr>
      <w:rPr>
        <w:rFonts w:ascii="Symbol" w:hAnsi="Symbol"/>
      </w:rPr>
    </w:lvl>
    <w:lvl w:ilvl="7" w:tplc="46024B8E">
      <w:start w:val="1"/>
      <w:numFmt w:val="bullet"/>
      <w:lvlText w:val="o"/>
      <w:lvlJc w:val="left"/>
      <w:pPr>
        <w:ind w:left="5760" w:hanging="360"/>
      </w:pPr>
      <w:rPr>
        <w:rFonts w:ascii="Symbol" w:hAnsi="Symbol"/>
      </w:rPr>
    </w:lvl>
    <w:lvl w:ilvl="8" w:tplc="27C1DF70">
      <w:start w:val="1"/>
      <w:numFmt w:val="bullet"/>
      <w:lvlText w:val="·"/>
      <w:lvlJc w:val="left"/>
      <w:pPr>
        <w:ind w:left="6480" w:hanging="360"/>
      </w:pPr>
      <w:rPr>
        <w:rFonts w:ascii="Symbol" w:hAnsi="Symbol"/>
      </w:rPr>
    </w:lvl>
  </w:abstractNum>
  <w:abstractNum w:abstractNumId="4" w15:restartNumberingAfterBreak="0">
    <w:nsid w:val="6B6A04B4"/>
    <w:multiLevelType w:val="hybridMultilevel"/>
    <w:tmpl w:val="196E10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85659F1"/>
    <w:multiLevelType w:val="hybridMultilevel"/>
    <w:tmpl w:val="589CF4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D363AA3"/>
    <w:multiLevelType w:val="hybridMultilevel"/>
    <w:tmpl w:val="7288494E"/>
    <w:lvl w:ilvl="0" w:tplc="6ED84951">
      <w:start w:val="1"/>
      <w:numFmt w:val="bullet"/>
      <w:lvlText w:val="·"/>
      <w:lvlJc w:val="left"/>
      <w:pPr>
        <w:ind w:left="720" w:hanging="360"/>
      </w:pPr>
      <w:rPr>
        <w:rFonts w:ascii="Symbol" w:eastAsia="Symbol" w:hAnsi="Symbol" w:cs="Symbol"/>
      </w:rPr>
    </w:lvl>
    <w:lvl w:ilvl="1" w:tplc="3C1D29F3">
      <w:start w:val="1"/>
      <w:numFmt w:val="bullet"/>
      <w:lvlText w:val="o"/>
      <w:lvlJc w:val="left"/>
      <w:pPr>
        <w:ind w:left="1440" w:hanging="360"/>
      </w:pPr>
      <w:rPr>
        <w:rFonts w:ascii="Symbol" w:hAnsi="Symbol"/>
      </w:rPr>
    </w:lvl>
    <w:lvl w:ilvl="2" w:tplc="2D29F134">
      <w:start w:val="1"/>
      <w:numFmt w:val="bullet"/>
      <w:lvlText w:val="·"/>
      <w:lvlJc w:val="left"/>
      <w:pPr>
        <w:ind w:left="2160" w:hanging="360"/>
      </w:pPr>
      <w:rPr>
        <w:rFonts w:ascii="Symbol" w:hAnsi="Symbol"/>
      </w:rPr>
    </w:lvl>
    <w:lvl w:ilvl="3" w:tplc="2417B8A8">
      <w:start w:val="1"/>
      <w:numFmt w:val="bullet"/>
      <w:lvlText w:val="o"/>
      <w:lvlJc w:val="left"/>
      <w:pPr>
        <w:ind w:left="2880" w:hanging="360"/>
      </w:pPr>
      <w:rPr>
        <w:rFonts w:ascii="Symbol" w:hAnsi="Symbol"/>
      </w:rPr>
    </w:lvl>
    <w:lvl w:ilvl="4" w:tplc="3D9702D1">
      <w:start w:val="1"/>
      <w:numFmt w:val="bullet"/>
      <w:lvlText w:val="·"/>
      <w:lvlJc w:val="left"/>
      <w:pPr>
        <w:ind w:left="3600" w:hanging="360"/>
      </w:pPr>
      <w:rPr>
        <w:rFonts w:ascii="Symbol" w:hAnsi="Symbol"/>
      </w:rPr>
    </w:lvl>
    <w:lvl w:ilvl="5" w:tplc="5384711F">
      <w:start w:val="1"/>
      <w:numFmt w:val="bullet"/>
      <w:lvlText w:val="o"/>
      <w:lvlJc w:val="left"/>
      <w:pPr>
        <w:ind w:left="4320" w:hanging="360"/>
      </w:pPr>
      <w:rPr>
        <w:rFonts w:ascii="Symbol" w:hAnsi="Symbol"/>
      </w:rPr>
    </w:lvl>
    <w:lvl w:ilvl="6" w:tplc="17FCC20C">
      <w:start w:val="1"/>
      <w:numFmt w:val="bullet"/>
      <w:lvlText w:val="·"/>
      <w:lvlJc w:val="left"/>
      <w:pPr>
        <w:ind w:left="5040" w:hanging="360"/>
      </w:pPr>
      <w:rPr>
        <w:rFonts w:ascii="Symbol" w:hAnsi="Symbol"/>
      </w:rPr>
    </w:lvl>
    <w:lvl w:ilvl="7" w:tplc="61D81D9F">
      <w:start w:val="1"/>
      <w:numFmt w:val="bullet"/>
      <w:lvlText w:val="o"/>
      <w:lvlJc w:val="left"/>
      <w:pPr>
        <w:ind w:left="5760" w:hanging="360"/>
      </w:pPr>
      <w:rPr>
        <w:rFonts w:ascii="Symbol" w:hAnsi="Symbol"/>
      </w:rPr>
    </w:lvl>
    <w:lvl w:ilvl="8" w:tplc="244B5A0D">
      <w:start w:val="1"/>
      <w:numFmt w:val="bullet"/>
      <w:lvlText w:val="·"/>
      <w:lvlJc w:val="left"/>
      <w:pPr>
        <w:ind w:left="6480" w:hanging="360"/>
      </w:pPr>
      <w:rPr>
        <w:rFonts w:ascii="Symbol" w:hAnsi="Symbol"/>
      </w:rPr>
    </w:lvl>
  </w:abstractNum>
  <w:num w:numId="1" w16cid:durableId="228535567">
    <w:abstractNumId w:val="1"/>
  </w:num>
  <w:num w:numId="2" w16cid:durableId="591209834">
    <w:abstractNumId w:val="6"/>
  </w:num>
  <w:num w:numId="3" w16cid:durableId="1214346631">
    <w:abstractNumId w:val="3"/>
  </w:num>
  <w:num w:numId="4" w16cid:durableId="1730301581">
    <w:abstractNumId w:val="2"/>
  </w:num>
  <w:num w:numId="5" w16cid:durableId="849635869">
    <w:abstractNumId w:val="0"/>
  </w:num>
  <w:num w:numId="6" w16cid:durableId="1793014023">
    <w:abstractNumId w:val="5"/>
  </w:num>
  <w:num w:numId="7" w16cid:durableId="1493369608">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defaultTabStop w:val="720"/>
  <w:hyphenationZone w:val="425"/>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965"/>
    <w:rsid w:val="001B5341"/>
    <w:rsid w:val="002825DF"/>
    <w:rsid w:val="00355002"/>
    <w:rsid w:val="004163D7"/>
    <w:rsid w:val="008073ED"/>
    <w:rsid w:val="009157D8"/>
    <w:rsid w:val="00B743F9"/>
    <w:rsid w:val="00DE0965"/>
    <w:rsid w:val="00E748ED"/>
    <w:rsid w:val="00FC0EDF"/>
  </w:rsids>
  <m:mathPr>
    <m:mathFont m:val="Cambria Math"/>
    <m:brkBin m:val="before"/>
    <m:brkBinSub m:val="--"/>
    <m:smallFrac m:val="0"/>
    <m:dispDef/>
    <m:lMargin m:val="0"/>
    <m:rMargin m:val="0"/>
    <m:defJc m:val="centerGroup"/>
    <m:wrapIndent m:val="0"/>
    <m:intLim m:val="undOvr"/>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481C9"/>
  <w15:docId w15:val="{A9FBDF65-9DA0-4839-A12D-106587C8E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EastAsia" w:hAnsi="Arial" w:cs="Arial"/>
        <w:color w:val="000000"/>
        <w:sz w:val="24"/>
        <w:szCs w:val="24"/>
        <w:lang w:val="de-DE" w:eastAsia="de-DE"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semiHidden/>
  </w:style>
  <w:style w:type="character" w:styleId="Hyperlink">
    <w:name w:val="Hyperlink"/>
    <w:rPr>
      <w:color w:val="0000FF"/>
      <w:u w:val="singl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rsid w:val="008073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hyperlink" Target="https://www.haefele.de/de/" TargetMode="Externa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1472</Words>
  <Characters>10010</Characters>
  <Application>Microsoft Office Word</Application>
  <DocSecurity>0</DocSecurity>
  <Lines>294</Lines>
  <Paragraphs>79</Paragraphs>
  <ScaleCrop>false</ScaleCrop>
  <Company/>
  <LinksUpToDate>false</LinksUpToDate>
  <CharactersWithSpaces>11403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 Dubbert</dc:creator>
  <cp:lastModifiedBy>Thomas Kopal</cp:lastModifiedBy>
  <cp:revision>2</cp:revision>
  <dcterms:created xsi:type="dcterms:W3CDTF">2026-08-25T10:52:00Z</dcterms:created>
  <dcterms:modified xsi:type="dcterms:W3CDTF">2026-08-25T10:52:00Z</dcterms:modified>
</cp:coreProperties>
</file>